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B8" w:rsidRPr="00A47D69" w:rsidRDefault="00927AB8" w:rsidP="00927AB8">
      <w:pPr>
        <w:mirrorIndents/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 w:rsidRPr="00A47D69">
        <w:rPr>
          <w:b/>
          <w:sz w:val="26"/>
          <w:szCs w:val="26"/>
          <w:lang w:val="ro-MD"/>
        </w:rPr>
        <w:t>NOT</w:t>
      </w:r>
      <w:r w:rsidR="00697079" w:rsidRPr="00A47D69">
        <w:rPr>
          <w:b/>
          <w:sz w:val="26"/>
          <w:szCs w:val="26"/>
          <w:lang w:val="ro-MD"/>
        </w:rPr>
        <w:t>A</w:t>
      </w:r>
      <w:r w:rsidRPr="00A47D69">
        <w:rPr>
          <w:b/>
          <w:sz w:val="26"/>
          <w:szCs w:val="26"/>
          <w:lang w:val="ro-MD"/>
        </w:rPr>
        <w:t xml:space="preserve"> INFORMATIVĂ</w:t>
      </w:r>
    </w:p>
    <w:p w:rsidR="00A47D69" w:rsidRPr="00A47D69" w:rsidRDefault="00927AB8" w:rsidP="00A47D69">
      <w:pPr>
        <w:jc w:val="center"/>
        <w:rPr>
          <w:rFonts w:eastAsia="Batang"/>
          <w:b/>
          <w:sz w:val="26"/>
          <w:szCs w:val="26"/>
          <w:lang w:val="ro-MD"/>
        </w:rPr>
      </w:pPr>
      <w:r w:rsidRPr="00A47D69">
        <w:rPr>
          <w:b/>
          <w:sz w:val="26"/>
          <w:szCs w:val="26"/>
          <w:lang w:val="ro-MD"/>
        </w:rPr>
        <w:t xml:space="preserve">la proiectul </w:t>
      </w:r>
      <w:r w:rsidR="002F1889" w:rsidRPr="00A47D69">
        <w:rPr>
          <w:b/>
          <w:sz w:val="26"/>
          <w:szCs w:val="26"/>
          <w:lang w:val="ro-MD"/>
        </w:rPr>
        <w:t xml:space="preserve">legii pentru </w:t>
      </w:r>
      <w:proofErr w:type="spellStart"/>
      <w:r w:rsidR="00A47D69" w:rsidRPr="00A47D69">
        <w:rPr>
          <w:rFonts w:eastAsia="Batang"/>
          <w:b/>
          <w:sz w:val="26"/>
          <w:szCs w:val="26"/>
          <w:lang w:val="ro-MD"/>
        </w:rPr>
        <w:t>pentru</w:t>
      </w:r>
      <w:proofErr w:type="spellEnd"/>
      <w:r w:rsidR="00A47D69" w:rsidRPr="00A47D69">
        <w:rPr>
          <w:rFonts w:eastAsia="Batang"/>
          <w:b/>
          <w:sz w:val="26"/>
          <w:szCs w:val="26"/>
          <w:lang w:val="ro-MD"/>
        </w:rPr>
        <w:t xml:space="preserve"> </w:t>
      </w:r>
      <w:r w:rsidR="0007697F">
        <w:rPr>
          <w:rFonts w:eastAsia="Batang"/>
          <w:b/>
          <w:sz w:val="26"/>
          <w:szCs w:val="26"/>
          <w:lang w:val="ro-MD"/>
        </w:rPr>
        <w:t>executarea</w:t>
      </w:r>
      <w:r w:rsidR="00A47D69" w:rsidRPr="00A47D69">
        <w:rPr>
          <w:rFonts w:eastAsia="Batang"/>
          <w:b/>
          <w:sz w:val="26"/>
          <w:szCs w:val="26"/>
          <w:lang w:val="ro-MD"/>
        </w:rPr>
        <w:t xml:space="preserve"> articolului 31 </w:t>
      </w:r>
    </w:p>
    <w:p w:rsidR="00A47D69" w:rsidRPr="00A47D69" w:rsidRDefault="00A47D69" w:rsidP="00A47D69">
      <w:pPr>
        <w:jc w:val="center"/>
        <w:rPr>
          <w:rFonts w:eastAsia="Batang"/>
          <w:b/>
          <w:sz w:val="26"/>
          <w:szCs w:val="26"/>
          <w:lang w:val="ro-MD"/>
        </w:rPr>
      </w:pPr>
      <w:r w:rsidRPr="00A47D69">
        <w:rPr>
          <w:rFonts w:eastAsia="Batang"/>
          <w:b/>
          <w:sz w:val="26"/>
          <w:szCs w:val="26"/>
          <w:lang w:val="ro-MD"/>
        </w:rPr>
        <w:t>din Legea privind sistemul unitar de salarizare în sectorul bugetar</w:t>
      </w:r>
    </w:p>
    <w:p w:rsidR="00927AB8" w:rsidRPr="00A47D69" w:rsidRDefault="00927AB8" w:rsidP="00927AB8">
      <w:pPr>
        <w:rPr>
          <w:sz w:val="26"/>
          <w:szCs w:val="26"/>
          <w:lang w:val="ro-MD"/>
        </w:rPr>
      </w:pPr>
    </w:p>
    <w:tbl>
      <w:tblPr>
        <w:tblW w:w="5452" w:type="pct"/>
        <w:tblLook w:val="04A0" w:firstRow="1" w:lastRow="0" w:firstColumn="1" w:lastColumn="0" w:noHBand="0" w:noVBand="1"/>
      </w:tblPr>
      <w:tblGrid>
        <w:gridCol w:w="10177"/>
      </w:tblGrid>
      <w:tr w:rsidR="00927AB8" w:rsidRPr="00A47D69" w:rsidTr="004F541F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927AB8" w:rsidRPr="00A47D69" w:rsidRDefault="00927AB8" w:rsidP="00512A16">
            <w:pPr>
              <w:pStyle w:val="a3"/>
              <w:numPr>
                <w:ilvl w:val="0"/>
                <w:numId w:val="1"/>
              </w:numPr>
              <w:spacing w:after="120"/>
              <w:ind w:left="0" w:firstLine="890"/>
              <w:rPr>
                <w:b/>
                <w:sz w:val="26"/>
                <w:szCs w:val="26"/>
                <w:lang w:val="ro-MD"/>
              </w:rPr>
            </w:pPr>
            <w:r w:rsidRPr="00A47D69">
              <w:rPr>
                <w:b/>
                <w:sz w:val="26"/>
                <w:szCs w:val="26"/>
                <w:lang w:val="ro-MD"/>
              </w:rPr>
              <w:t>Denumirea autorului și, după caz, a participanților la elaborarea proiectului</w:t>
            </w:r>
          </w:p>
        </w:tc>
      </w:tr>
      <w:tr w:rsidR="00927AB8" w:rsidRPr="00A47D69" w:rsidTr="004F541F">
        <w:trPr>
          <w:trHeight w:val="428"/>
        </w:trPr>
        <w:tc>
          <w:tcPr>
            <w:tcW w:w="5000" w:type="pct"/>
            <w:hideMark/>
          </w:tcPr>
          <w:p w:rsidR="00927AB8" w:rsidRPr="00A47D69" w:rsidRDefault="006E6820" w:rsidP="00A47D69">
            <w:pPr>
              <w:ind w:firstLine="743"/>
              <w:rPr>
                <w:sz w:val="26"/>
                <w:szCs w:val="26"/>
                <w:lang w:val="ro-MD"/>
              </w:rPr>
            </w:pPr>
            <w:r w:rsidRPr="00A47D69">
              <w:rPr>
                <w:rFonts w:eastAsia="Calibri"/>
                <w:sz w:val="26"/>
                <w:szCs w:val="26"/>
                <w:lang w:val="ro-MD"/>
              </w:rPr>
              <w:t>Autorul p</w:t>
            </w:r>
            <w:r w:rsidR="00927AB8" w:rsidRPr="00A47D69">
              <w:rPr>
                <w:rFonts w:eastAsia="Calibri"/>
                <w:sz w:val="26"/>
                <w:szCs w:val="26"/>
                <w:lang w:val="ro-MD"/>
              </w:rPr>
              <w:t>roiectul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ui este </w:t>
            </w:r>
            <w:r w:rsidR="00927AB8" w:rsidRPr="00A47D69">
              <w:rPr>
                <w:rFonts w:eastAsia="Calibri"/>
                <w:sz w:val="26"/>
                <w:szCs w:val="26"/>
                <w:lang w:val="ro-MD"/>
              </w:rPr>
              <w:t xml:space="preserve">Ministerul </w:t>
            </w:r>
            <w:r w:rsidR="00927AB8" w:rsidRPr="00A47D69">
              <w:rPr>
                <w:sz w:val="26"/>
                <w:szCs w:val="26"/>
                <w:lang w:val="ro-MD"/>
              </w:rPr>
              <w:t>Finanțelor</w:t>
            </w:r>
            <w:r w:rsidRPr="00A47D69">
              <w:rPr>
                <w:sz w:val="26"/>
                <w:szCs w:val="26"/>
                <w:lang w:val="ro-MD"/>
              </w:rPr>
              <w:t>, care este desemnat responsabil de politica în domeniul salarizării în sectorul bugetar</w:t>
            </w:r>
            <w:r w:rsidR="00927AB8" w:rsidRPr="00A47D69">
              <w:rPr>
                <w:sz w:val="26"/>
                <w:szCs w:val="26"/>
                <w:lang w:val="ro-MD"/>
              </w:rPr>
              <w:t>.</w:t>
            </w:r>
            <w:r w:rsidR="008C54A0" w:rsidRPr="00A47D69">
              <w:rPr>
                <w:sz w:val="26"/>
                <w:szCs w:val="26"/>
                <w:lang w:val="ro-MD"/>
              </w:rPr>
              <w:t xml:space="preserve"> </w:t>
            </w:r>
          </w:p>
        </w:tc>
      </w:tr>
      <w:tr w:rsidR="00927AB8" w:rsidRPr="00A47D69" w:rsidTr="004F541F">
        <w:tc>
          <w:tcPr>
            <w:tcW w:w="5000" w:type="pct"/>
            <w:shd w:val="clear" w:color="auto" w:fill="D9D9D9"/>
            <w:hideMark/>
          </w:tcPr>
          <w:p w:rsidR="00927AB8" w:rsidRPr="00A47D69" w:rsidRDefault="00927AB8" w:rsidP="00512A16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/>
              <w:ind w:left="0" w:firstLine="890"/>
              <w:rPr>
                <w:b/>
                <w:sz w:val="26"/>
                <w:szCs w:val="26"/>
                <w:lang w:val="ro-MD"/>
              </w:rPr>
            </w:pPr>
            <w:r w:rsidRPr="00A47D69">
              <w:rPr>
                <w:b/>
                <w:sz w:val="26"/>
                <w:szCs w:val="26"/>
                <w:lang w:val="ro-MD"/>
              </w:rPr>
              <w:t>Condițiile ce au impus elaborarea proiectului de act normativ și finalitățile urmărite</w:t>
            </w:r>
          </w:p>
        </w:tc>
      </w:tr>
      <w:tr w:rsidR="00927AB8" w:rsidRPr="00A47D69" w:rsidTr="004F541F">
        <w:tc>
          <w:tcPr>
            <w:tcW w:w="5000" w:type="pct"/>
          </w:tcPr>
          <w:p w:rsidR="008859F1" w:rsidRDefault="0040035F" w:rsidP="00512A16">
            <w:pPr>
              <w:spacing w:before="120" w:after="120"/>
              <w:rPr>
                <w:rFonts w:eastAsia="Calibri"/>
                <w:sz w:val="26"/>
                <w:szCs w:val="26"/>
                <w:lang w:val="ro-MD"/>
              </w:rPr>
            </w:pP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În vederea reformării sistemului actual de salarizare în sectorul </w:t>
            </w:r>
            <w:r w:rsidR="008859F1">
              <w:rPr>
                <w:rFonts w:eastAsia="Calibri"/>
                <w:sz w:val="26"/>
                <w:szCs w:val="26"/>
                <w:lang w:val="ro-MD"/>
              </w:rPr>
              <w:t xml:space="preserve">bugetar, în conformitate cu 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Dispoziția </w:t>
            </w:r>
            <w:r w:rsidR="008859F1">
              <w:rPr>
                <w:rFonts w:eastAsia="Calibri"/>
                <w:sz w:val="26"/>
                <w:szCs w:val="26"/>
                <w:lang w:val="ro-MD"/>
              </w:rPr>
              <w:t>P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>rim-ministrului nr.80-d din 28 iulie 2017</w:t>
            </w:r>
            <w:r w:rsidR="008859F1">
              <w:rPr>
                <w:rFonts w:eastAsia="Calibri"/>
                <w:sz w:val="26"/>
                <w:szCs w:val="26"/>
                <w:lang w:val="ro-MD"/>
              </w:rPr>
              <w:t xml:space="preserve">, Ministerul Finanțelor a elaborat proiectul legii cu privire la sistemul unitar de salarizare în sectorul bugetar (în continuare – </w:t>
            </w:r>
            <w:r w:rsidR="003E5FA5">
              <w:rPr>
                <w:rFonts w:eastAsia="Calibri"/>
                <w:sz w:val="26"/>
                <w:szCs w:val="26"/>
                <w:lang w:val="ro-MD"/>
              </w:rPr>
              <w:t>L</w:t>
            </w:r>
            <w:r w:rsidR="008859F1">
              <w:rPr>
                <w:rFonts w:eastAsia="Calibri"/>
                <w:sz w:val="26"/>
                <w:szCs w:val="26"/>
                <w:lang w:val="ro-MD"/>
              </w:rPr>
              <w:t xml:space="preserve">egea). </w:t>
            </w:r>
          </w:p>
          <w:p w:rsidR="008859F1" w:rsidRDefault="008859F1" w:rsidP="00512A16">
            <w:pPr>
              <w:spacing w:before="120" w:after="120"/>
              <w:rPr>
                <w:rFonts w:eastAsia="Calibri"/>
                <w:sz w:val="26"/>
                <w:szCs w:val="26"/>
                <w:lang w:val="ro-MD"/>
              </w:rPr>
            </w:pP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Legea </w:t>
            </w:r>
            <w:r>
              <w:rPr>
                <w:rFonts w:eastAsia="Calibri"/>
                <w:sz w:val="26"/>
                <w:szCs w:val="26"/>
                <w:lang w:val="ro-MD"/>
              </w:rPr>
              <w:t>oferă o viziune nouă asupra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 structur</w:t>
            </w:r>
            <w:r>
              <w:rPr>
                <w:rFonts w:eastAsia="Calibri"/>
                <w:sz w:val="26"/>
                <w:szCs w:val="26"/>
                <w:lang w:val="ro-MD"/>
              </w:rPr>
              <w:t>ii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 sistemului de salarizare, </w:t>
            </w:r>
            <w:r>
              <w:rPr>
                <w:rFonts w:eastAsia="Calibri"/>
                <w:sz w:val="26"/>
                <w:szCs w:val="26"/>
                <w:lang w:val="ro-MD"/>
              </w:rPr>
              <w:t xml:space="preserve">stabilește 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 xml:space="preserve">drepturile salariale, </w:t>
            </w:r>
            <w:r>
              <w:rPr>
                <w:rFonts w:eastAsia="Calibri"/>
                <w:sz w:val="26"/>
                <w:szCs w:val="26"/>
                <w:lang w:val="ro-MD"/>
              </w:rPr>
              <w:t xml:space="preserve">condițiile de formare a </w:t>
            </w:r>
            <w:r w:rsidRPr="00A47D69">
              <w:rPr>
                <w:rFonts w:eastAsia="Calibri"/>
                <w:sz w:val="26"/>
                <w:szCs w:val="26"/>
                <w:lang w:val="ro-MD"/>
              </w:rPr>
              <w:t>salariului de funcție conform gradelor și treptelor de salarizare</w:t>
            </w:r>
            <w:r>
              <w:rPr>
                <w:rFonts w:eastAsia="Calibri"/>
                <w:sz w:val="26"/>
                <w:szCs w:val="26"/>
                <w:lang w:val="ro-MD"/>
              </w:rPr>
              <w:t xml:space="preserve">. La fel, </w:t>
            </w:r>
            <w:r w:rsidR="003E5FA5">
              <w:rPr>
                <w:rFonts w:eastAsia="Calibri"/>
                <w:sz w:val="26"/>
                <w:szCs w:val="26"/>
                <w:lang w:val="ro-MD"/>
              </w:rPr>
              <w:t>L</w:t>
            </w:r>
            <w:r>
              <w:rPr>
                <w:rFonts w:eastAsia="Calibri"/>
                <w:sz w:val="26"/>
                <w:szCs w:val="26"/>
                <w:lang w:val="ro-MD"/>
              </w:rPr>
              <w:t>egea statuează că normele privind salarizarea personalului din sectorul bugetar țin în exclusivitate de legea respectivă și nu pot fi obiectul de reglementare al altor legi.</w:t>
            </w:r>
          </w:p>
          <w:p w:rsidR="00BC20BE" w:rsidRDefault="00BC20BE" w:rsidP="00512A16">
            <w:pPr>
              <w:spacing w:before="120" w:after="120"/>
              <w:rPr>
                <w:rFonts w:eastAsia="Calibri"/>
                <w:sz w:val="26"/>
                <w:szCs w:val="26"/>
                <w:lang w:val="ro-MD"/>
              </w:rPr>
            </w:pPr>
            <w:r>
              <w:rPr>
                <w:rFonts w:eastAsia="Calibri"/>
                <w:sz w:val="26"/>
                <w:szCs w:val="26"/>
                <w:lang w:val="ro-MD"/>
              </w:rPr>
              <w:t xml:space="preserve">Legea a indicat Guvernului, în termen de 6 luni să prezinte Parlamentului propuneri pentru aducerea legislației în vigoare în conformitate cu prevederile legii. </w:t>
            </w:r>
          </w:p>
          <w:p w:rsidR="008859F1" w:rsidRDefault="00BC20BE" w:rsidP="00512A16">
            <w:pPr>
              <w:spacing w:before="120" w:after="120"/>
              <w:rPr>
                <w:rFonts w:eastAsia="Calibri"/>
                <w:sz w:val="26"/>
                <w:szCs w:val="26"/>
                <w:lang w:val="ro-MD"/>
              </w:rPr>
            </w:pPr>
            <w:r>
              <w:rPr>
                <w:rFonts w:eastAsia="Calibri"/>
                <w:sz w:val="26"/>
                <w:szCs w:val="26"/>
                <w:lang w:val="ro-MD"/>
              </w:rPr>
              <w:t>În scopul ajustării normelor în vigoare ș</w:t>
            </w:r>
            <w:r w:rsidR="008859F1" w:rsidRPr="00A47D69">
              <w:rPr>
                <w:rFonts w:eastAsia="Calibri"/>
                <w:sz w:val="26"/>
                <w:szCs w:val="26"/>
                <w:lang w:val="ro-MD"/>
              </w:rPr>
              <w:t>i eliminării normelor cu caracter salarial din alte acte normative, se introduc modificări în Legea salarizării nr. 847/2002, Legea nr. 1432/2000 privind modul de stabilire și reexaminare a salariului minim, Legea nr. 154/2003 Codul muncii al Republicii Moldova, Legea nr. 797/1996 pentru adoptarea Regulamentului Parlamentului, Legea nr. 1381/1997 Codul electoral, Legea nr.259/2004 Codul cu privire la știință și inovare, Legea nr. 158/2008 cu privire la funcția publică și statutul funcționarului public</w:t>
            </w:r>
            <w:r w:rsidR="008264C8">
              <w:rPr>
                <w:rFonts w:eastAsia="Calibri"/>
                <w:sz w:val="26"/>
                <w:szCs w:val="26"/>
                <w:lang w:val="ro-MD"/>
              </w:rPr>
              <w:t xml:space="preserve"> ș.a</w:t>
            </w:r>
            <w:r>
              <w:rPr>
                <w:rFonts w:eastAsia="Calibri"/>
                <w:sz w:val="26"/>
                <w:szCs w:val="26"/>
                <w:lang w:val="ro-MD"/>
              </w:rPr>
              <w:t>.</w:t>
            </w:r>
          </w:p>
          <w:p w:rsidR="00625ED0" w:rsidRPr="00A47D69" w:rsidRDefault="00625ED0" w:rsidP="00BC20BE">
            <w:pPr>
              <w:tabs>
                <w:tab w:val="left" w:pos="709"/>
              </w:tabs>
              <w:spacing w:before="120" w:after="120"/>
              <w:ind w:left="709" w:firstLine="0"/>
              <w:rPr>
                <w:rFonts w:eastAsia="Calibri"/>
                <w:sz w:val="26"/>
                <w:szCs w:val="26"/>
                <w:lang w:val="ro-MD"/>
              </w:rPr>
            </w:pPr>
          </w:p>
        </w:tc>
      </w:tr>
      <w:tr w:rsidR="00512A16" w:rsidRPr="00A47D69" w:rsidTr="004F541F">
        <w:tc>
          <w:tcPr>
            <w:tcW w:w="5000" w:type="pct"/>
            <w:shd w:val="clear" w:color="auto" w:fill="D9D9D9"/>
            <w:hideMark/>
          </w:tcPr>
          <w:p w:rsidR="00512A16" w:rsidRPr="00A47D69" w:rsidRDefault="00201CBA" w:rsidP="00201CBA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/>
              <w:ind w:left="0" w:firstLine="890"/>
              <w:rPr>
                <w:b/>
                <w:sz w:val="26"/>
                <w:szCs w:val="26"/>
                <w:lang w:val="ro-MD"/>
              </w:rPr>
            </w:pPr>
            <w:r w:rsidRPr="00A47D69">
              <w:rPr>
                <w:b/>
                <w:sz w:val="26"/>
                <w:szCs w:val="26"/>
                <w:lang w:val="ro-MD"/>
              </w:rPr>
              <w:t>Principalele prevederi ale proiectului și evidențierea elementelor noi</w:t>
            </w:r>
          </w:p>
        </w:tc>
      </w:tr>
      <w:tr w:rsidR="00512A16" w:rsidRPr="00A47D69" w:rsidTr="004F541F">
        <w:tc>
          <w:tcPr>
            <w:tcW w:w="5000" w:type="pct"/>
          </w:tcPr>
          <w:p w:rsidR="00E8666C" w:rsidRDefault="00E8666C" w:rsidP="00E8666C">
            <w:pPr>
              <w:ind w:firstLine="567"/>
              <w:rPr>
                <w:rFonts w:eastAsia="Calibri"/>
                <w:sz w:val="26"/>
                <w:szCs w:val="26"/>
                <w:lang w:val="ro-MD"/>
              </w:rPr>
            </w:pPr>
          </w:p>
          <w:p w:rsidR="00E8666C" w:rsidRDefault="00E8666C" w:rsidP="00E8666C">
            <w:pPr>
              <w:spacing w:after="120"/>
              <w:ind w:firstLine="567"/>
              <w:rPr>
                <w:rFonts w:eastAsia="Calibri"/>
                <w:sz w:val="26"/>
                <w:szCs w:val="26"/>
                <w:lang w:val="ro-MD"/>
              </w:rPr>
            </w:pPr>
            <w:r>
              <w:rPr>
                <w:rFonts w:eastAsia="Calibri"/>
                <w:sz w:val="26"/>
                <w:szCs w:val="26"/>
                <w:lang w:val="ro-MD"/>
              </w:rPr>
              <w:t>Norme cu caract</w:t>
            </w:r>
            <w:r w:rsidR="00FF3688">
              <w:rPr>
                <w:rFonts w:eastAsia="Calibri"/>
                <w:sz w:val="26"/>
                <w:szCs w:val="26"/>
                <w:lang w:val="ro-MD"/>
              </w:rPr>
              <w:t>e</w:t>
            </w:r>
            <w:r>
              <w:rPr>
                <w:rFonts w:eastAsia="Calibri"/>
                <w:sz w:val="26"/>
                <w:szCs w:val="26"/>
                <w:lang w:val="ro-MD"/>
              </w:rPr>
              <w:t>r salarial se propune a fi abrogate din legi precum urmează:</w:t>
            </w:r>
          </w:p>
          <w:p w:rsidR="00E8666C" w:rsidRDefault="00E8666C" w:rsidP="00E8666C">
            <w:pPr>
              <w:spacing w:after="120"/>
              <w:ind w:firstLine="567"/>
              <w:rPr>
                <w:bCs/>
                <w:sz w:val="26"/>
                <w:szCs w:val="26"/>
                <w:lang w:val="ro-MD"/>
              </w:rPr>
            </w:pPr>
            <w:r>
              <w:rPr>
                <w:rFonts w:eastAsia="Calibri"/>
                <w:sz w:val="26"/>
                <w:szCs w:val="26"/>
                <w:lang w:val="ro-MD"/>
              </w:rPr>
              <w:t xml:space="preserve">Modificarea </w:t>
            </w:r>
            <w:r w:rsidRPr="00E8666C">
              <w:rPr>
                <w:b/>
                <w:bCs/>
                <w:sz w:val="26"/>
                <w:szCs w:val="26"/>
                <w:lang w:val="ro-MD"/>
              </w:rPr>
              <w:t>Leg</w:t>
            </w:r>
            <w:r>
              <w:rPr>
                <w:b/>
                <w:bCs/>
                <w:sz w:val="26"/>
                <w:szCs w:val="26"/>
                <w:lang w:val="ro-MD"/>
              </w:rPr>
              <w:t>ii</w:t>
            </w:r>
            <w:r w:rsidRPr="00E8666C">
              <w:rPr>
                <w:b/>
                <w:bCs/>
                <w:sz w:val="26"/>
                <w:szCs w:val="26"/>
                <w:lang w:val="ro-MD"/>
              </w:rPr>
              <w:t xml:space="preserve"> nr. 797-XIII din 02.04.1996 pentru adoptarea Regulamentului Parlamentului</w:t>
            </w:r>
            <w:r>
              <w:rPr>
                <w:b/>
                <w:bCs/>
                <w:sz w:val="26"/>
                <w:szCs w:val="26"/>
                <w:lang w:val="ro-MD"/>
              </w:rPr>
              <w:t xml:space="preserve"> </w:t>
            </w:r>
            <w:r w:rsidRPr="00E8666C">
              <w:rPr>
                <w:bCs/>
                <w:sz w:val="26"/>
                <w:szCs w:val="26"/>
                <w:lang w:val="ro-MD"/>
              </w:rPr>
              <w:t xml:space="preserve">exclud dreptul Biroului </w:t>
            </w:r>
            <w:r>
              <w:rPr>
                <w:bCs/>
                <w:sz w:val="26"/>
                <w:szCs w:val="26"/>
                <w:lang w:val="ro-MD"/>
              </w:rPr>
              <w:t>permanent al Parlamentului de a aproba condiții specifice de salarizare;</w:t>
            </w:r>
          </w:p>
          <w:p w:rsidR="00FF3688" w:rsidRDefault="00E8666C" w:rsidP="00E8666C">
            <w:pPr>
              <w:spacing w:after="120"/>
              <w:ind w:firstLine="567"/>
              <w:rPr>
                <w:sz w:val="26"/>
                <w:szCs w:val="26"/>
                <w:lang w:val="ro-MD"/>
              </w:rPr>
            </w:pPr>
            <w:r w:rsidRPr="00FF3688">
              <w:rPr>
                <w:rFonts w:eastAsia="Calibri"/>
                <w:sz w:val="26"/>
                <w:szCs w:val="26"/>
                <w:lang w:val="ro-MD"/>
              </w:rPr>
              <w:t xml:space="preserve">Din </w:t>
            </w:r>
            <w:r w:rsidRPr="00FF3688">
              <w:rPr>
                <w:b/>
                <w:bCs/>
                <w:sz w:val="26"/>
                <w:szCs w:val="26"/>
                <w:lang w:val="ro-MD"/>
              </w:rPr>
              <w:t xml:space="preserve">Legea nr. 1381-XIII din 21.11.1997 Codul electoral </w:t>
            </w:r>
            <w:r w:rsidRPr="00FF3688">
              <w:rPr>
                <w:bCs/>
                <w:sz w:val="26"/>
                <w:szCs w:val="26"/>
                <w:lang w:val="ro-MD"/>
              </w:rPr>
              <w:t>se exclude norma privind</w:t>
            </w:r>
            <w:r w:rsidRPr="00FF3688">
              <w:rPr>
                <w:b/>
                <w:bCs/>
                <w:sz w:val="26"/>
                <w:szCs w:val="26"/>
                <w:lang w:val="ro-MD"/>
              </w:rPr>
              <w:t xml:space="preserve">  </w:t>
            </w:r>
            <w:r w:rsidRPr="00FF3688">
              <w:rPr>
                <w:bCs/>
                <w:sz w:val="26"/>
                <w:szCs w:val="26"/>
                <w:lang w:val="ro-MD"/>
              </w:rPr>
              <w:t>stabilirea unui spor la salariul mediu de 35 la sută angajaților permanenți ai aparatului Comisiei Electorale Centrale pentru perioada electorală</w:t>
            </w:r>
            <w:r w:rsidRPr="00FF3688">
              <w:rPr>
                <w:sz w:val="26"/>
                <w:szCs w:val="26"/>
                <w:lang w:val="ro-MD"/>
              </w:rPr>
              <w:t xml:space="preserve"> (alegeri parlamentare, alegeri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prezidenţiale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, alegeri locale generale, alegeri noi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 referendumuri republicane) fiindu-le stabilit un spor la salariul mediu de 35 la sută</w:t>
            </w:r>
            <w:r w:rsidR="00FF3688">
              <w:rPr>
                <w:sz w:val="26"/>
                <w:szCs w:val="26"/>
                <w:lang w:val="ro-MD"/>
              </w:rPr>
              <w:t>;</w:t>
            </w:r>
          </w:p>
          <w:p w:rsidR="00FF3688" w:rsidRDefault="00FF3688" w:rsidP="00FF3688">
            <w:pPr>
              <w:spacing w:after="120"/>
              <w:ind w:firstLine="567"/>
              <w:rPr>
                <w:sz w:val="26"/>
                <w:szCs w:val="26"/>
                <w:lang w:val="ro-MD"/>
              </w:rPr>
            </w:pPr>
            <w:r w:rsidRPr="00FF3688">
              <w:rPr>
                <w:rFonts w:eastAsia="Calibri"/>
                <w:sz w:val="26"/>
                <w:szCs w:val="26"/>
                <w:lang w:val="ro-MD"/>
              </w:rPr>
              <w:lastRenderedPageBreak/>
              <w:t xml:space="preserve">Din </w:t>
            </w:r>
            <w:r w:rsidRPr="00FF3688">
              <w:rPr>
                <w:b/>
                <w:bCs/>
                <w:sz w:val="26"/>
                <w:szCs w:val="26"/>
                <w:lang w:val="ro-MD"/>
              </w:rPr>
              <w:t xml:space="preserve">Legea nr.259-XV din 15.07.2004 Codul cu privire la știință și inovare </w:t>
            </w:r>
            <w:r w:rsidRPr="00FF3688">
              <w:rPr>
                <w:bCs/>
                <w:sz w:val="26"/>
                <w:szCs w:val="26"/>
                <w:lang w:val="ro-MD"/>
              </w:rPr>
              <w:t xml:space="preserve">se propune a fi exclus articolul ce ține de </w:t>
            </w:r>
            <w:r>
              <w:rPr>
                <w:bCs/>
                <w:sz w:val="26"/>
                <w:szCs w:val="26"/>
                <w:lang w:val="ro-MD"/>
              </w:rPr>
              <w:t xml:space="preserve">condițiile de </w:t>
            </w:r>
            <w:r w:rsidRPr="00FF3688">
              <w:rPr>
                <w:bCs/>
                <w:sz w:val="26"/>
                <w:szCs w:val="26"/>
                <w:lang w:val="ro-MD"/>
              </w:rPr>
              <w:t>r</w:t>
            </w:r>
            <w:r w:rsidRPr="00FF3688">
              <w:rPr>
                <w:sz w:val="26"/>
                <w:szCs w:val="26"/>
                <w:lang w:val="ro-MD"/>
              </w:rPr>
              <w:t>etribuire</w:t>
            </w:r>
            <w:r>
              <w:rPr>
                <w:sz w:val="26"/>
                <w:szCs w:val="26"/>
                <w:lang w:val="ro-MD"/>
              </w:rPr>
              <w:t xml:space="preserve"> </w:t>
            </w:r>
            <w:r w:rsidRPr="00FF3688">
              <w:rPr>
                <w:sz w:val="26"/>
                <w:szCs w:val="26"/>
                <w:lang w:val="ro-MD"/>
              </w:rPr>
              <w:t xml:space="preserve">a muncii cercetătorului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ştiinţific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 din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organizaţiile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 de drept public din domeniile cercetării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 inovării în cadrul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finanţării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instituţionale</w:t>
            </w:r>
            <w:proofErr w:type="spellEnd"/>
            <w:r w:rsidR="008E33B8">
              <w:rPr>
                <w:sz w:val="26"/>
                <w:szCs w:val="26"/>
                <w:lang w:val="ro-MD"/>
              </w:rPr>
              <w:t>.</w:t>
            </w:r>
          </w:p>
          <w:p w:rsidR="00FF3688" w:rsidRPr="00FF3688" w:rsidRDefault="00FF3688" w:rsidP="00FF3688">
            <w:pPr>
              <w:spacing w:after="120"/>
              <w:ind w:firstLine="567"/>
              <w:rPr>
                <w:sz w:val="26"/>
                <w:szCs w:val="26"/>
                <w:lang w:val="ro-MD"/>
              </w:rPr>
            </w:pPr>
            <w:r w:rsidRPr="00FF3688">
              <w:rPr>
                <w:sz w:val="26"/>
                <w:szCs w:val="26"/>
                <w:lang w:val="ro-MD"/>
              </w:rPr>
              <w:t xml:space="preserve">Din </w:t>
            </w:r>
            <w:r w:rsidRPr="00FF3688">
              <w:rPr>
                <w:b/>
                <w:bCs/>
                <w:sz w:val="26"/>
                <w:szCs w:val="26"/>
                <w:lang w:val="ro-MD"/>
              </w:rPr>
              <w:t xml:space="preserve">Legea nr. 158-XVI din 04.07.2008 cu privire la funcția publică și statutul funcționarului public </w:t>
            </w:r>
            <w:r w:rsidRPr="00FF3688">
              <w:rPr>
                <w:bCs/>
                <w:sz w:val="26"/>
                <w:szCs w:val="26"/>
                <w:lang w:val="ro-MD"/>
              </w:rPr>
              <w:t>se exclude norma  privind plata dublă a salariului pe unitate de timp sau recuperarea timpului lucrat cu păstrarea salariului mediu în cazul muncii peste durata normală a timpului de muncă,</w:t>
            </w:r>
            <w:r w:rsidRPr="00FF3688">
              <w:rPr>
                <w:sz w:val="26"/>
                <w:szCs w:val="26"/>
                <w:lang w:val="ro-MD"/>
              </w:rPr>
              <w:t xml:space="preserve"> în zilele de sărbătoare nelucrătoare </w:t>
            </w:r>
            <w:proofErr w:type="spellStart"/>
            <w:r w:rsidRPr="00FF3688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FF3688">
              <w:rPr>
                <w:sz w:val="26"/>
                <w:szCs w:val="26"/>
                <w:lang w:val="ro-MD"/>
              </w:rPr>
              <w:t>/sau în zilele de repaus</w:t>
            </w:r>
            <w:r w:rsidR="008E33B8">
              <w:rPr>
                <w:sz w:val="26"/>
                <w:szCs w:val="26"/>
                <w:lang w:val="ro-MD"/>
              </w:rPr>
              <w:t>.</w:t>
            </w:r>
          </w:p>
          <w:p w:rsidR="00F408E6" w:rsidRDefault="00F408E6" w:rsidP="00143923">
            <w:pPr>
              <w:spacing w:after="120"/>
              <w:ind w:firstLine="567"/>
              <w:rPr>
                <w:sz w:val="26"/>
                <w:szCs w:val="26"/>
                <w:lang w:val="ro-MD"/>
              </w:rPr>
            </w:pPr>
            <w:r w:rsidRPr="00143923">
              <w:rPr>
                <w:b/>
                <w:bCs/>
                <w:sz w:val="26"/>
                <w:szCs w:val="26"/>
                <w:lang w:val="ro-MD"/>
              </w:rPr>
              <w:t xml:space="preserve">Legea nr. 140 din 27 iulie 2018 pentru modificarea și completarea unor acte legislative </w:t>
            </w:r>
            <w:r w:rsidRPr="00143923">
              <w:rPr>
                <w:bCs/>
                <w:sz w:val="26"/>
                <w:szCs w:val="26"/>
                <w:lang w:val="ro-MD"/>
              </w:rPr>
              <w:t>prevede o dispoziție privind menținerea cel puțin la nivelul aprobat pentru anul 2018 a v</w:t>
            </w:r>
            <w:r w:rsidRPr="00143923">
              <w:rPr>
                <w:sz w:val="26"/>
                <w:szCs w:val="26"/>
                <w:lang w:val="ro-MD"/>
              </w:rPr>
              <w:t xml:space="preserve">olumului mijloacelor financiare alocate anual pentru retribuirea muncii angajaților persoanelor juridice care anterior activau în condiții de autogestiune și al căror statut se modifică prin prezenta lege </w:t>
            </w:r>
            <w:r w:rsidR="00143923" w:rsidRPr="00143923">
              <w:rPr>
                <w:sz w:val="26"/>
                <w:szCs w:val="26"/>
                <w:lang w:val="ro-MD"/>
              </w:rPr>
              <w:t>în autoritate finanțată din buget</w:t>
            </w:r>
            <w:r w:rsidRPr="00143923">
              <w:rPr>
                <w:sz w:val="26"/>
                <w:szCs w:val="26"/>
                <w:lang w:val="ro-MD"/>
              </w:rPr>
              <w:t>.</w:t>
            </w:r>
            <w:r w:rsidR="003E5FA5">
              <w:rPr>
                <w:sz w:val="26"/>
                <w:szCs w:val="26"/>
                <w:lang w:val="ro-MD"/>
              </w:rPr>
              <w:t xml:space="preserve"> Acest drept este reformulat în Lege și urmează a fi omis din actul menționat.</w:t>
            </w:r>
          </w:p>
          <w:p w:rsidR="008264C8" w:rsidRDefault="008E33B8" w:rsidP="008E33B8">
            <w:pPr>
              <w:spacing w:after="120"/>
              <w:ind w:firstLine="567"/>
              <w:rPr>
                <w:bCs/>
                <w:sz w:val="26"/>
                <w:szCs w:val="26"/>
                <w:lang w:val="ro-MD"/>
              </w:rPr>
            </w:pPr>
            <w:r w:rsidRPr="008E33B8">
              <w:rPr>
                <w:bCs/>
                <w:sz w:val="26"/>
                <w:szCs w:val="26"/>
                <w:lang w:val="ro-MD"/>
              </w:rPr>
              <w:t xml:space="preserve">Alte modificări țin de </w:t>
            </w:r>
            <w:r w:rsidRPr="008E33B8">
              <w:rPr>
                <w:b/>
                <w:bCs/>
                <w:sz w:val="26"/>
                <w:szCs w:val="26"/>
                <w:lang w:val="ro-MD"/>
              </w:rPr>
              <w:t>Legea salarizării nr. 847-XV din 14.02.2002</w:t>
            </w:r>
            <w:r w:rsidRPr="008E33B8">
              <w:rPr>
                <w:bCs/>
                <w:sz w:val="26"/>
                <w:szCs w:val="26"/>
                <w:lang w:val="ro-MD"/>
              </w:rPr>
              <w:t>,</w:t>
            </w:r>
            <w:r w:rsidRPr="008E33B8">
              <w:rPr>
                <w:b/>
                <w:bCs/>
                <w:sz w:val="26"/>
                <w:szCs w:val="26"/>
                <w:lang w:val="ro-MD"/>
              </w:rPr>
              <w:t xml:space="preserve"> </w:t>
            </w:r>
            <w:r w:rsidRPr="008E33B8">
              <w:rPr>
                <w:bCs/>
                <w:sz w:val="26"/>
                <w:szCs w:val="26"/>
                <w:lang w:val="ro-MD"/>
              </w:rPr>
              <w:t>în care se propune de a defini unele noțiuni noi</w:t>
            </w:r>
            <w:r w:rsidR="008264C8">
              <w:rPr>
                <w:bCs/>
                <w:sz w:val="26"/>
                <w:szCs w:val="26"/>
                <w:lang w:val="ro-MD"/>
              </w:rPr>
              <w:t xml:space="preserve"> legate de sistemul unitar de salarizare în sectorul bugetar.</w:t>
            </w:r>
          </w:p>
          <w:p w:rsidR="008E33B8" w:rsidRPr="008E33B8" w:rsidRDefault="008264C8" w:rsidP="008E33B8">
            <w:pPr>
              <w:spacing w:after="120"/>
              <w:ind w:firstLine="567"/>
              <w:rPr>
                <w:bCs/>
                <w:sz w:val="26"/>
                <w:szCs w:val="26"/>
                <w:lang w:val="ro-MD"/>
              </w:rPr>
            </w:pPr>
            <w:r>
              <w:rPr>
                <w:bCs/>
                <w:sz w:val="26"/>
                <w:szCs w:val="26"/>
                <w:lang w:val="ro-MD"/>
              </w:rPr>
              <w:t>Într-un șir de legi se propune de a exclude referința la legile actuale în domeniul salarizării.</w:t>
            </w:r>
            <w:r w:rsidR="008E33B8" w:rsidRPr="008E33B8">
              <w:rPr>
                <w:bCs/>
                <w:sz w:val="26"/>
                <w:szCs w:val="26"/>
                <w:lang w:val="ro-MD"/>
              </w:rPr>
              <w:t xml:space="preserve"> </w:t>
            </w:r>
          </w:p>
          <w:p w:rsidR="00BA72A9" w:rsidRPr="00A47D69" w:rsidRDefault="00BA72A9" w:rsidP="008E33B8">
            <w:pPr>
              <w:pStyle w:val="a3"/>
              <w:spacing w:after="120"/>
              <w:ind w:left="0" w:firstLine="737"/>
              <w:rPr>
                <w:rFonts w:eastAsia="Calibri"/>
                <w:sz w:val="26"/>
                <w:szCs w:val="26"/>
                <w:lang w:val="ro-MD"/>
              </w:rPr>
            </w:pPr>
          </w:p>
        </w:tc>
      </w:tr>
      <w:tr w:rsidR="00962FD8" w:rsidRPr="00A47D69" w:rsidTr="004F541F">
        <w:tc>
          <w:tcPr>
            <w:tcW w:w="5000" w:type="pct"/>
            <w:shd w:val="clear" w:color="auto" w:fill="D9D9D9"/>
          </w:tcPr>
          <w:p w:rsidR="00962FD8" w:rsidRPr="00A47D69" w:rsidRDefault="00962FD8" w:rsidP="00201CBA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/>
              <w:ind w:left="0" w:firstLine="890"/>
              <w:rPr>
                <w:b/>
                <w:sz w:val="26"/>
                <w:szCs w:val="26"/>
                <w:lang w:val="ro-MD"/>
              </w:rPr>
            </w:pPr>
            <w:r w:rsidRPr="00A47D69">
              <w:rPr>
                <w:b/>
                <w:sz w:val="26"/>
                <w:szCs w:val="26"/>
                <w:lang w:val="ro-MD"/>
              </w:rPr>
              <w:lastRenderedPageBreak/>
              <w:t xml:space="preserve">Fundamentarea </w:t>
            </w:r>
            <w:proofErr w:type="spellStart"/>
            <w:r w:rsidRPr="00A47D69">
              <w:rPr>
                <w:b/>
                <w:sz w:val="26"/>
                <w:szCs w:val="26"/>
                <w:lang w:val="ro-MD"/>
              </w:rPr>
              <w:t>economico</w:t>
            </w:r>
            <w:proofErr w:type="spellEnd"/>
            <w:r w:rsidRPr="00A47D69">
              <w:rPr>
                <w:b/>
                <w:sz w:val="26"/>
                <w:szCs w:val="26"/>
                <w:lang w:val="ro-MD"/>
              </w:rPr>
              <w:t>-financiară</w:t>
            </w:r>
          </w:p>
        </w:tc>
      </w:tr>
      <w:tr w:rsidR="00927AB8" w:rsidRPr="00A47D69" w:rsidTr="004F541F">
        <w:trPr>
          <w:trHeight w:val="1039"/>
        </w:trPr>
        <w:tc>
          <w:tcPr>
            <w:tcW w:w="5000" w:type="pct"/>
            <w:hideMark/>
          </w:tcPr>
          <w:p w:rsidR="006D6E51" w:rsidRPr="00A47D69" w:rsidRDefault="00EA3D2D" w:rsidP="00512A16">
            <w:pPr>
              <w:ind w:firstLine="883"/>
              <w:rPr>
                <w:rFonts w:eastAsiaTheme="minorHAnsi"/>
                <w:sz w:val="26"/>
                <w:szCs w:val="26"/>
                <w:lang w:val="ro-MD"/>
              </w:rPr>
            </w:pPr>
            <w:r>
              <w:rPr>
                <w:rFonts w:eastAsiaTheme="minorHAnsi"/>
                <w:sz w:val="26"/>
                <w:szCs w:val="26"/>
                <w:lang w:val="ro-MD"/>
              </w:rPr>
              <w:t xml:space="preserve">Proiectul nu implică careva costuri financiare. </w:t>
            </w:r>
            <w:r w:rsidR="000835C8">
              <w:rPr>
                <w:rFonts w:eastAsiaTheme="minorHAnsi"/>
                <w:sz w:val="26"/>
                <w:szCs w:val="26"/>
                <w:lang w:val="ro-MD"/>
              </w:rPr>
              <w:t>Normele abrogate, după caz, au fost reflectate în Legea cu privire la sistemul unitar de salarizare în sectorul bugetar și se vor implementa din contul alocațiilor prevăzute pentru realizarea Legii.</w:t>
            </w:r>
          </w:p>
          <w:p w:rsidR="00927AB8" w:rsidRPr="00A47D69" w:rsidRDefault="00927AB8" w:rsidP="006D6E51">
            <w:pPr>
              <w:ind w:firstLine="883"/>
              <w:rPr>
                <w:rFonts w:eastAsiaTheme="minorHAnsi"/>
                <w:sz w:val="26"/>
                <w:szCs w:val="26"/>
                <w:lang w:val="ro-MD"/>
              </w:rPr>
            </w:pPr>
          </w:p>
        </w:tc>
      </w:tr>
      <w:tr w:rsidR="00927AB8" w:rsidRPr="00A47D69" w:rsidTr="004F541F">
        <w:tc>
          <w:tcPr>
            <w:tcW w:w="5000" w:type="pct"/>
            <w:shd w:val="clear" w:color="auto" w:fill="D9D9D9"/>
            <w:hideMark/>
          </w:tcPr>
          <w:p w:rsidR="00927AB8" w:rsidRPr="00A47D69" w:rsidRDefault="00927AB8" w:rsidP="00201CBA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pacing w:after="120"/>
              <w:ind w:left="0" w:firstLine="890"/>
              <w:rPr>
                <w:b/>
                <w:sz w:val="26"/>
                <w:szCs w:val="26"/>
                <w:lang w:val="ro-MD"/>
              </w:rPr>
            </w:pPr>
            <w:r w:rsidRPr="00A47D69">
              <w:rPr>
                <w:b/>
                <w:sz w:val="26"/>
                <w:szCs w:val="26"/>
                <w:lang w:val="ro-MD"/>
              </w:rPr>
              <w:t>Avizarea și consultarea publică a proiectului</w:t>
            </w:r>
          </w:p>
        </w:tc>
      </w:tr>
      <w:tr w:rsidR="00927AB8" w:rsidRPr="00A47D69" w:rsidTr="004F541F">
        <w:tc>
          <w:tcPr>
            <w:tcW w:w="5000" w:type="pct"/>
            <w:hideMark/>
          </w:tcPr>
          <w:p w:rsidR="00017232" w:rsidRPr="008264C8" w:rsidRDefault="00017232" w:rsidP="008264C8">
            <w:pPr>
              <w:rPr>
                <w:rFonts w:eastAsiaTheme="minorHAnsi"/>
                <w:sz w:val="26"/>
                <w:szCs w:val="26"/>
                <w:lang w:val="ro-MD"/>
              </w:rPr>
            </w:pPr>
            <w:r w:rsidRPr="008264C8">
              <w:rPr>
                <w:rFonts w:eastAsiaTheme="minorHAnsi"/>
                <w:sz w:val="26"/>
                <w:szCs w:val="26"/>
                <w:lang w:val="ro-MD"/>
              </w:rPr>
              <w:t xml:space="preserve">În scopul respectării prevederilor Legii nr.239/ 2008 privind transparența în procesul decizional, proiectul </w:t>
            </w:r>
            <w:r w:rsidR="008264C8" w:rsidRPr="008264C8">
              <w:rPr>
                <w:sz w:val="26"/>
                <w:szCs w:val="26"/>
                <w:lang w:val="ro-MD"/>
              </w:rPr>
              <w:t xml:space="preserve">legii pentru </w:t>
            </w:r>
            <w:proofErr w:type="spellStart"/>
            <w:r w:rsidR="008264C8" w:rsidRPr="008264C8">
              <w:rPr>
                <w:rFonts w:eastAsia="Batang"/>
                <w:sz w:val="26"/>
                <w:szCs w:val="26"/>
                <w:lang w:val="ro-MD"/>
              </w:rPr>
              <w:t>pentru</w:t>
            </w:r>
            <w:proofErr w:type="spellEnd"/>
            <w:r w:rsidR="008264C8" w:rsidRPr="008264C8">
              <w:rPr>
                <w:rFonts w:eastAsia="Batang"/>
                <w:sz w:val="26"/>
                <w:szCs w:val="26"/>
                <w:lang w:val="ro-MD"/>
              </w:rPr>
              <w:t xml:space="preserve"> executarea articolului 31 din Legea privind sistemul unitar de salarizare în sectorul bugetar</w:t>
            </w:r>
            <w:r w:rsidRPr="008264C8">
              <w:rPr>
                <w:rFonts w:eastAsiaTheme="minorHAnsi"/>
                <w:sz w:val="26"/>
                <w:szCs w:val="26"/>
                <w:lang w:val="ro-MD"/>
              </w:rPr>
              <w:t xml:space="preserve"> este plasat pe pagina web oficială a Ministerului Finanțelor (</w:t>
            </w:r>
            <w:hyperlink r:id="rId7" w:history="1">
              <w:r w:rsidRPr="008264C8">
                <w:rPr>
                  <w:rFonts w:eastAsiaTheme="minorHAnsi"/>
                  <w:sz w:val="26"/>
                  <w:szCs w:val="26"/>
                  <w:lang w:val="ro-MD"/>
                </w:rPr>
                <w:t>www.mf.gov.md</w:t>
              </w:r>
            </w:hyperlink>
            <w:r w:rsidRPr="008264C8">
              <w:rPr>
                <w:rFonts w:eastAsiaTheme="minorHAnsi"/>
                <w:sz w:val="26"/>
                <w:szCs w:val="26"/>
                <w:lang w:val="ro-MD"/>
              </w:rPr>
              <w:t>), directoriul „Transparența decizională”, secțiunea „Procesul decizional”.</w:t>
            </w:r>
          </w:p>
          <w:p w:rsidR="007A11D0" w:rsidRPr="00A47D69" w:rsidRDefault="00017232" w:rsidP="006D6E51">
            <w:pPr>
              <w:ind w:firstLine="888"/>
              <w:contextualSpacing/>
              <w:rPr>
                <w:sz w:val="26"/>
                <w:szCs w:val="26"/>
                <w:lang w:val="ro-MD"/>
              </w:rPr>
            </w:pPr>
            <w:r w:rsidRPr="00A47D69">
              <w:rPr>
                <w:rFonts w:eastAsiaTheme="minorHAnsi"/>
                <w:sz w:val="26"/>
                <w:szCs w:val="26"/>
                <w:lang w:val="ro-MD"/>
              </w:rPr>
              <w:t xml:space="preserve">Proiectul </w:t>
            </w:r>
            <w:r w:rsidR="006D6E51" w:rsidRPr="00A47D69">
              <w:rPr>
                <w:rFonts w:eastAsiaTheme="minorHAnsi"/>
                <w:sz w:val="26"/>
                <w:szCs w:val="26"/>
                <w:lang w:val="ro-MD"/>
              </w:rPr>
              <w:t>v</w:t>
            </w:r>
            <w:r w:rsidRPr="00A47D69">
              <w:rPr>
                <w:rFonts w:eastAsiaTheme="minorHAnsi"/>
                <w:sz w:val="26"/>
                <w:szCs w:val="26"/>
                <w:lang w:val="ro-MD"/>
              </w:rPr>
              <w:t xml:space="preserve">a </w:t>
            </w:r>
            <w:r w:rsidR="006D6E51" w:rsidRPr="00A47D69">
              <w:rPr>
                <w:rFonts w:eastAsiaTheme="minorHAnsi"/>
                <w:sz w:val="26"/>
                <w:szCs w:val="26"/>
                <w:lang w:val="ro-MD"/>
              </w:rPr>
              <w:t xml:space="preserve">fi supus consultărilor publice cu toate părțile interesate și va urma avizarea oficială în condițiile cadrului normativ. </w:t>
            </w:r>
          </w:p>
          <w:p w:rsidR="00025567" w:rsidRPr="00A47D69" w:rsidRDefault="00025567" w:rsidP="00512A16">
            <w:pPr>
              <w:tabs>
                <w:tab w:val="left" w:pos="884"/>
              </w:tabs>
              <w:spacing w:after="120"/>
              <w:ind w:firstLine="878"/>
              <w:rPr>
                <w:rFonts w:eastAsiaTheme="minorHAnsi"/>
                <w:sz w:val="26"/>
                <w:szCs w:val="26"/>
                <w:lang w:val="ro-MD"/>
              </w:rPr>
            </w:pPr>
          </w:p>
          <w:p w:rsidR="00927AB8" w:rsidRPr="00A47D69" w:rsidRDefault="00927AB8" w:rsidP="00512A16">
            <w:pPr>
              <w:ind w:firstLine="878"/>
              <w:jc w:val="center"/>
              <w:rPr>
                <w:rFonts w:eastAsiaTheme="minorHAnsi"/>
                <w:b/>
                <w:sz w:val="26"/>
                <w:szCs w:val="26"/>
                <w:lang w:val="ro-MD"/>
              </w:rPr>
            </w:pPr>
          </w:p>
          <w:p w:rsidR="00927AB8" w:rsidRPr="00A47D69" w:rsidRDefault="00927AB8" w:rsidP="00981B6B">
            <w:pPr>
              <w:ind w:firstLine="0"/>
              <w:jc w:val="center"/>
              <w:rPr>
                <w:rFonts w:eastAsiaTheme="minorHAnsi"/>
                <w:sz w:val="26"/>
                <w:szCs w:val="26"/>
                <w:lang w:val="ro-MD"/>
              </w:rPr>
            </w:pPr>
            <w:r w:rsidRPr="00A47D69">
              <w:rPr>
                <w:rFonts w:eastAsiaTheme="minorHAnsi"/>
                <w:b/>
                <w:sz w:val="26"/>
                <w:szCs w:val="26"/>
                <w:lang w:val="ro-MD"/>
              </w:rPr>
              <w:t xml:space="preserve">MINISTRU       </w:t>
            </w:r>
            <w:r w:rsidR="00981B6B" w:rsidRPr="00A47D69">
              <w:rPr>
                <w:rFonts w:eastAsiaTheme="minorHAnsi"/>
                <w:b/>
                <w:sz w:val="26"/>
                <w:szCs w:val="26"/>
                <w:lang w:val="ro-MD"/>
              </w:rPr>
              <w:t xml:space="preserve">                       </w:t>
            </w:r>
            <w:r w:rsidRPr="00A47D69">
              <w:rPr>
                <w:rFonts w:eastAsiaTheme="minorHAnsi"/>
                <w:b/>
                <w:sz w:val="26"/>
                <w:szCs w:val="26"/>
                <w:lang w:val="ro-MD"/>
              </w:rPr>
              <w:t>Octavian ARMAȘU</w:t>
            </w:r>
          </w:p>
        </w:tc>
      </w:tr>
    </w:tbl>
    <w:p w:rsidR="005A1CE1" w:rsidRPr="00A47D69" w:rsidRDefault="00916518" w:rsidP="007A11D0">
      <w:pPr>
        <w:ind w:firstLine="0"/>
        <w:rPr>
          <w:sz w:val="26"/>
          <w:szCs w:val="26"/>
          <w:lang w:val="ro-MD"/>
        </w:rPr>
      </w:pPr>
      <w:r w:rsidRPr="00A47D69">
        <w:rPr>
          <w:sz w:val="26"/>
          <w:szCs w:val="26"/>
          <w:lang w:val="ro-MD"/>
        </w:rPr>
        <w:t xml:space="preserve">                                                                                                                  </w:t>
      </w:r>
    </w:p>
    <w:p w:rsidR="00F309CB" w:rsidRPr="00A47D69" w:rsidRDefault="00F309CB" w:rsidP="005A1CE1">
      <w:pPr>
        <w:jc w:val="right"/>
        <w:rPr>
          <w:sz w:val="26"/>
          <w:szCs w:val="26"/>
          <w:lang w:val="ro-MD"/>
        </w:rPr>
      </w:pPr>
    </w:p>
    <w:sectPr w:rsidR="00F309CB" w:rsidRPr="00A47D69" w:rsidSect="00512A16">
      <w:footerReference w:type="default" r:id="rId8"/>
      <w:pgSz w:w="12240" w:h="15840"/>
      <w:pgMar w:top="993" w:right="1467" w:bottom="1843" w:left="144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8B" w:rsidRDefault="00672C8B" w:rsidP="00205018">
      <w:r>
        <w:separator/>
      </w:r>
    </w:p>
  </w:endnote>
  <w:endnote w:type="continuationSeparator" w:id="0">
    <w:p w:rsidR="00672C8B" w:rsidRDefault="00672C8B" w:rsidP="0020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156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018" w:rsidRDefault="005A1CE1" w:rsidP="005A1CE1">
        <w:pPr>
          <w:pStyle w:val="ab"/>
          <w:tabs>
            <w:tab w:val="clear" w:pos="9360"/>
            <w:tab w:val="right" w:pos="9333"/>
          </w:tabs>
          <w:jc w:val="right"/>
        </w:pPr>
        <w:r>
          <w:t xml:space="preserve">     </w:t>
        </w:r>
        <w:r w:rsidR="00205018">
          <w:fldChar w:fldCharType="begin"/>
        </w:r>
        <w:r w:rsidR="00205018">
          <w:instrText xml:space="preserve"> PAGE   \* MERGEFORMAT </w:instrText>
        </w:r>
        <w:r w:rsidR="00205018">
          <w:fldChar w:fldCharType="separate"/>
        </w:r>
        <w:r w:rsidR="00545BE1">
          <w:rPr>
            <w:noProof/>
          </w:rPr>
          <w:t>1</w:t>
        </w:r>
        <w:r w:rsidR="00205018">
          <w:rPr>
            <w:noProof/>
          </w:rPr>
          <w:fldChar w:fldCharType="end"/>
        </w:r>
      </w:p>
    </w:sdtContent>
  </w:sdt>
  <w:p w:rsidR="00205018" w:rsidRDefault="002050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8B" w:rsidRDefault="00672C8B" w:rsidP="00205018">
      <w:r>
        <w:separator/>
      </w:r>
    </w:p>
  </w:footnote>
  <w:footnote w:type="continuationSeparator" w:id="0">
    <w:p w:rsidR="00672C8B" w:rsidRDefault="00672C8B" w:rsidP="0020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465"/>
    <w:multiLevelType w:val="hybridMultilevel"/>
    <w:tmpl w:val="337ED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4C1"/>
    <w:multiLevelType w:val="hybridMultilevel"/>
    <w:tmpl w:val="40D6C65C"/>
    <w:lvl w:ilvl="0" w:tplc="3B524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803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2A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A2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C0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E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40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6A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6C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433AFC"/>
    <w:multiLevelType w:val="hybridMultilevel"/>
    <w:tmpl w:val="1CFE8B8E"/>
    <w:lvl w:ilvl="0" w:tplc="E9F4CD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3956E21C">
      <w:start w:val="1"/>
      <w:numFmt w:val="lowerLetter"/>
      <w:lvlText w:val="(%3)"/>
      <w:lvlJc w:val="left"/>
      <w:pPr>
        <w:ind w:left="1980" w:hanging="360"/>
      </w:pPr>
      <w:rPr>
        <w:rFonts w:eastAsiaTheme="minorEastAsia" w:hint="default"/>
        <w:color w:val="auto"/>
        <w:sz w:val="24"/>
      </w:rPr>
    </w:lvl>
    <w:lvl w:ilvl="3" w:tplc="5BE4C36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C05B9"/>
    <w:multiLevelType w:val="hybridMultilevel"/>
    <w:tmpl w:val="E4D68902"/>
    <w:lvl w:ilvl="0" w:tplc="863418A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029D"/>
    <w:multiLevelType w:val="hybridMultilevel"/>
    <w:tmpl w:val="C7A8120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77E4D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3322"/>
    <w:multiLevelType w:val="hybridMultilevel"/>
    <w:tmpl w:val="591CFDEC"/>
    <w:lvl w:ilvl="0" w:tplc="D9923BF6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822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160DA"/>
    <w:multiLevelType w:val="hybridMultilevel"/>
    <w:tmpl w:val="EBC6D2E6"/>
    <w:lvl w:ilvl="0" w:tplc="E4402CBC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9A7CF9B2">
      <w:start w:val="1"/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Bidi" w:hint="default"/>
      </w:rPr>
    </w:lvl>
    <w:lvl w:ilvl="3" w:tplc="FFFFFFFF">
      <w:start w:val="1"/>
      <w:numFmt w:val="decimal"/>
      <w:lvlText w:val="(%4)"/>
      <w:lvlJc w:val="left"/>
      <w:pPr>
        <w:ind w:left="2520" w:hanging="360"/>
      </w:pPr>
      <w:rPr>
        <w:rFonts w:hint="default"/>
        <w:color w:val="auto"/>
        <w:sz w:val="24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33DA5"/>
    <w:multiLevelType w:val="hybridMultilevel"/>
    <w:tmpl w:val="2FC63046"/>
    <w:lvl w:ilvl="0" w:tplc="B35A182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A0CAE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30DE3"/>
    <w:multiLevelType w:val="hybridMultilevel"/>
    <w:tmpl w:val="4CC69C26"/>
    <w:lvl w:ilvl="0" w:tplc="DAD257B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E1414"/>
    <w:multiLevelType w:val="hybridMultilevel"/>
    <w:tmpl w:val="09FEB168"/>
    <w:lvl w:ilvl="0" w:tplc="20F6CE98">
      <w:start w:val="1"/>
      <w:numFmt w:val="bullet"/>
      <w:lvlText w:val="–"/>
      <w:lvlJc w:val="left"/>
      <w:pPr>
        <w:ind w:left="107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B8"/>
    <w:rsid w:val="0000585B"/>
    <w:rsid w:val="00017232"/>
    <w:rsid w:val="00025567"/>
    <w:rsid w:val="000315A4"/>
    <w:rsid w:val="00041DD8"/>
    <w:rsid w:val="00065A7F"/>
    <w:rsid w:val="0007697F"/>
    <w:rsid w:val="000835C8"/>
    <w:rsid w:val="000B2883"/>
    <w:rsid w:val="000C239E"/>
    <w:rsid w:val="0010760B"/>
    <w:rsid w:val="00112C2B"/>
    <w:rsid w:val="00125B2D"/>
    <w:rsid w:val="00143923"/>
    <w:rsid w:val="00194165"/>
    <w:rsid w:val="00196FFE"/>
    <w:rsid w:val="001C3867"/>
    <w:rsid w:val="001C6CB8"/>
    <w:rsid w:val="00201CBA"/>
    <w:rsid w:val="00205018"/>
    <w:rsid w:val="00210DB5"/>
    <w:rsid w:val="002A7769"/>
    <w:rsid w:val="002B196B"/>
    <w:rsid w:val="002B1A58"/>
    <w:rsid w:val="002F1889"/>
    <w:rsid w:val="00306B85"/>
    <w:rsid w:val="0032630E"/>
    <w:rsid w:val="00330DB5"/>
    <w:rsid w:val="0033418B"/>
    <w:rsid w:val="00344A6D"/>
    <w:rsid w:val="003E5FA5"/>
    <w:rsid w:val="003F2085"/>
    <w:rsid w:val="0040035F"/>
    <w:rsid w:val="004057FA"/>
    <w:rsid w:val="00441F7F"/>
    <w:rsid w:val="00495A78"/>
    <w:rsid w:val="004A3DA8"/>
    <w:rsid w:val="004D69B1"/>
    <w:rsid w:val="004F541F"/>
    <w:rsid w:val="00512A16"/>
    <w:rsid w:val="00526B31"/>
    <w:rsid w:val="00545BE1"/>
    <w:rsid w:val="005A1CE1"/>
    <w:rsid w:val="005A58E9"/>
    <w:rsid w:val="005B61D5"/>
    <w:rsid w:val="005D38F7"/>
    <w:rsid w:val="00625ED0"/>
    <w:rsid w:val="00672C8B"/>
    <w:rsid w:val="006944E5"/>
    <w:rsid w:val="00697079"/>
    <w:rsid w:val="006B7B8F"/>
    <w:rsid w:val="006C3BAB"/>
    <w:rsid w:val="006D6E51"/>
    <w:rsid w:val="006E164B"/>
    <w:rsid w:val="006E6820"/>
    <w:rsid w:val="006F519E"/>
    <w:rsid w:val="00742CBD"/>
    <w:rsid w:val="007604C4"/>
    <w:rsid w:val="00774C01"/>
    <w:rsid w:val="007A11D0"/>
    <w:rsid w:val="007B3E18"/>
    <w:rsid w:val="007B54E0"/>
    <w:rsid w:val="007C04C2"/>
    <w:rsid w:val="007D6A81"/>
    <w:rsid w:val="008264C8"/>
    <w:rsid w:val="00844DAA"/>
    <w:rsid w:val="00882B71"/>
    <w:rsid w:val="008859F1"/>
    <w:rsid w:val="008B3AF0"/>
    <w:rsid w:val="008C54A0"/>
    <w:rsid w:val="008E04C4"/>
    <w:rsid w:val="008E33B8"/>
    <w:rsid w:val="00916518"/>
    <w:rsid w:val="00927AB8"/>
    <w:rsid w:val="00935825"/>
    <w:rsid w:val="00936FB6"/>
    <w:rsid w:val="009452E9"/>
    <w:rsid w:val="00962FD8"/>
    <w:rsid w:val="009733BA"/>
    <w:rsid w:val="00981B6B"/>
    <w:rsid w:val="00A17E29"/>
    <w:rsid w:val="00A47D69"/>
    <w:rsid w:val="00A568E9"/>
    <w:rsid w:val="00A6430C"/>
    <w:rsid w:val="00A944B5"/>
    <w:rsid w:val="00A94B0B"/>
    <w:rsid w:val="00B17567"/>
    <w:rsid w:val="00BA72A9"/>
    <w:rsid w:val="00BA7501"/>
    <w:rsid w:val="00BC20BE"/>
    <w:rsid w:val="00C57416"/>
    <w:rsid w:val="00C657A3"/>
    <w:rsid w:val="00C6675C"/>
    <w:rsid w:val="00D7129D"/>
    <w:rsid w:val="00D812E4"/>
    <w:rsid w:val="00D8413D"/>
    <w:rsid w:val="00D96A58"/>
    <w:rsid w:val="00DC1CD5"/>
    <w:rsid w:val="00DC3CE6"/>
    <w:rsid w:val="00DE7E5C"/>
    <w:rsid w:val="00E21C74"/>
    <w:rsid w:val="00E3777E"/>
    <w:rsid w:val="00E711DC"/>
    <w:rsid w:val="00E8666C"/>
    <w:rsid w:val="00EA3D2D"/>
    <w:rsid w:val="00F309CB"/>
    <w:rsid w:val="00F408E6"/>
    <w:rsid w:val="00F67323"/>
    <w:rsid w:val="00F676F6"/>
    <w:rsid w:val="00FB5852"/>
    <w:rsid w:val="00FE2A61"/>
    <w:rsid w:val="00FF08A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0B7C641-14FF-4413-BACC-A137B1E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7AB8"/>
    <w:pPr>
      <w:ind w:left="720"/>
      <w:contextualSpacing/>
    </w:pPr>
  </w:style>
  <w:style w:type="paragraph" w:styleId="a5">
    <w:name w:val="No Spacing"/>
    <w:uiPriority w:val="1"/>
    <w:qFormat/>
    <w:rsid w:val="00927AB8"/>
    <w:pPr>
      <w:spacing w:after="0" w:line="240" w:lineRule="auto"/>
    </w:pPr>
    <w:rPr>
      <w:lang w:val="ro-RO"/>
    </w:rPr>
  </w:style>
  <w:style w:type="character" w:styleId="a6">
    <w:name w:val="Hyperlink"/>
    <w:basedOn w:val="a0"/>
    <w:uiPriority w:val="99"/>
    <w:unhideWhenUsed/>
    <w:rsid w:val="00927AB8"/>
    <w:rPr>
      <w:color w:val="0000FF"/>
      <w:u w:val="single"/>
    </w:rPr>
  </w:style>
  <w:style w:type="paragraph" w:customStyle="1" w:styleId="Default">
    <w:name w:val="Default"/>
    <w:rsid w:val="001C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B3A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AF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018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501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5018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501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3F208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5A58E9"/>
    <w:pPr>
      <w:spacing w:after="80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rsid w:val="005A58E9"/>
    <w:rPr>
      <w:rFonts w:eastAsiaTheme="minorEastAsia"/>
    </w:rPr>
  </w:style>
  <w:style w:type="character" w:styleId="af0">
    <w:name w:val="footnote reference"/>
    <w:basedOn w:val="a0"/>
    <w:uiPriority w:val="99"/>
    <w:unhideWhenUsed/>
    <w:rsid w:val="005A58E9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201C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f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Dubovicenco</dc:creator>
  <cp:keywords/>
  <dc:description/>
  <cp:lastModifiedBy>Gherman Tatiana</cp:lastModifiedBy>
  <cp:revision>3</cp:revision>
  <cp:lastPrinted>2018-08-20T11:13:00Z</cp:lastPrinted>
  <dcterms:created xsi:type="dcterms:W3CDTF">2018-10-25T08:38:00Z</dcterms:created>
  <dcterms:modified xsi:type="dcterms:W3CDTF">2018-10-25T08:39:00Z</dcterms:modified>
</cp:coreProperties>
</file>