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50" w:rsidRDefault="00690250" w:rsidP="00AD54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4707A" w:rsidRPr="00874E67" w:rsidRDefault="00A4707A" w:rsidP="00AD54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74E67">
        <w:rPr>
          <w:rFonts w:ascii="Times New Roman" w:hAnsi="Times New Roman"/>
          <w:b/>
          <w:bCs/>
          <w:sz w:val="28"/>
          <w:szCs w:val="28"/>
        </w:rPr>
        <w:t>NOTĂ INFORMATIVĂ</w:t>
      </w:r>
    </w:p>
    <w:p w:rsidR="00A2088E" w:rsidRDefault="005A58A3" w:rsidP="003532C8">
      <w:pPr>
        <w:pStyle w:val="tt"/>
        <w:rPr>
          <w:rFonts w:eastAsia="Calibri"/>
          <w:b w:val="0"/>
          <w:sz w:val="28"/>
          <w:szCs w:val="28"/>
        </w:rPr>
      </w:pPr>
      <w:r w:rsidRPr="00874E67">
        <w:rPr>
          <w:b w:val="0"/>
          <w:sz w:val="28"/>
          <w:szCs w:val="28"/>
        </w:rPr>
        <w:t xml:space="preserve">la </w:t>
      </w:r>
      <w:r w:rsidR="00AD549C" w:rsidRPr="00874E67">
        <w:rPr>
          <w:rFonts w:eastAsia="Calibri"/>
          <w:b w:val="0"/>
          <w:sz w:val="28"/>
          <w:szCs w:val="28"/>
        </w:rPr>
        <w:t xml:space="preserve">proiectul </w:t>
      </w:r>
      <w:r w:rsidR="00EE49CD">
        <w:rPr>
          <w:rFonts w:eastAsia="Calibri"/>
          <w:b w:val="0"/>
          <w:sz w:val="28"/>
          <w:szCs w:val="28"/>
        </w:rPr>
        <w:t>de</w:t>
      </w:r>
      <w:r w:rsidR="0021754F" w:rsidRPr="00874E67">
        <w:rPr>
          <w:rFonts w:eastAsia="Calibri"/>
          <w:b w:val="0"/>
          <w:sz w:val="28"/>
          <w:szCs w:val="28"/>
        </w:rPr>
        <w:t xml:space="preserve"> lege</w:t>
      </w:r>
      <w:r w:rsidR="00515A38">
        <w:rPr>
          <w:rFonts w:eastAsia="Calibri"/>
          <w:b w:val="0"/>
          <w:sz w:val="28"/>
          <w:szCs w:val="28"/>
        </w:rPr>
        <w:t xml:space="preserve"> </w:t>
      </w:r>
      <w:r w:rsidR="003532C8" w:rsidRPr="003532C8">
        <w:rPr>
          <w:rFonts w:eastAsia="Calibri"/>
          <w:b w:val="0"/>
          <w:sz w:val="28"/>
          <w:szCs w:val="28"/>
        </w:rPr>
        <w:t>cu privire la modificarea unor acte legislative</w:t>
      </w:r>
    </w:p>
    <w:p w:rsidR="00312AF2" w:rsidRPr="00874E67" w:rsidRDefault="00312AF2" w:rsidP="009F12B4">
      <w:pPr>
        <w:pStyle w:val="tt"/>
        <w:rPr>
          <w:rFonts w:eastAsia="Calibri"/>
          <w:b w:val="0"/>
          <w:sz w:val="28"/>
          <w:szCs w:val="28"/>
        </w:rPr>
      </w:pPr>
    </w:p>
    <w:p w:rsidR="00A4707A" w:rsidRPr="00874E67" w:rsidRDefault="00A4707A" w:rsidP="00AD549C">
      <w:pPr>
        <w:spacing w:after="0" w:line="240" w:lineRule="auto"/>
        <w:ind w:left="254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1754F" w:rsidRPr="00874E67" w:rsidTr="005F6388">
        <w:trPr>
          <w:trHeight w:val="183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21754F" w:rsidRPr="00874E67" w:rsidRDefault="0021754F" w:rsidP="009F12B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4E67">
              <w:rPr>
                <w:rFonts w:ascii="Times New Roman" w:hAnsi="Times New Roman"/>
                <w:b/>
                <w:sz w:val="28"/>
                <w:szCs w:val="28"/>
              </w:rPr>
              <w:t xml:space="preserve">Denumirea autorului </w:t>
            </w:r>
            <w:r w:rsidR="00C52C79" w:rsidRPr="00874E67">
              <w:rPr>
                <w:rFonts w:ascii="Times New Roman" w:hAnsi="Times New Roman"/>
                <w:b/>
                <w:sz w:val="28"/>
                <w:szCs w:val="28"/>
              </w:rPr>
              <w:t>și</w:t>
            </w:r>
            <w:r w:rsidRPr="00874E67">
              <w:rPr>
                <w:rFonts w:ascii="Times New Roman" w:hAnsi="Times New Roman"/>
                <w:b/>
                <w:sz w:val="28"/>
                <w:szCs w:val="28"/>
              </w:rPr>
              <w:t xml:space="preserve">, după caz, a </w:t>
            </w:r>
            <w:r w:rsidR="00C52C79" w:rsidRPr="00874E67">
              <w:rPr>
                <w:rFonts w:ascii="Times New Roman" w:hAnsi="Times New Roman"/>
                <w:b/>
                <w:sz w:val="28"/>
                <w:szCs w:val="28"/>
              </w:rPr>
              <w:t>participanților</w:t>
            </w:r>
            <w:r w:rsidRPr="00874E67">
              <w:rPr>
                <w:rFonts w:ascii="Times New Roman" w:hAnsi="Times New Roman"/>
                <w:b/>
                <w:sz w:val="28"/>
                <w:szCs w:val="28"/>
              </w:rPr>
              <w:t xml:space="preserve"> la elaborarea proiectului</w:t>
            </w:r>
          </w:p>
        </w:tc>
      </w:tr>
      <w:tr w:rsidR="0021754F" w:rsidRPr="00874E67" w:rsidTr="005F6388">
        <w:trPr>
          <w:trHeight w:val="183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6A7B" w:rsidRPr="000D4007" w:rsidRDefault="00845DF8" w:rsidP="009344B5">
            <w:pPr>
              <w:spacing w:after="0" w:line="240" w:lineRule="auto"/>
              <w:ind w:firstLine="60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4E67">
              <w:rPr>
                <w:rFonts w:ascii="Times New Roman" w:hAnsi="Times New Roman"/>
                <w:sz w:val="28"/>
                <w:szCs w:val="28"/>
                <w:lang w:eastAsia="en-GB"/>
              </w:rPr>
              <w:t> </w:t>
            </w:r>
            <w:r w:rsidRPr="00874E67">
              <w:rPr>
                <w:rFonts w:ascii="Times New Roman" w:hAnsi="Times New Roman"/>
                <w:sz w:val="28"/>
                <w:szCs w:val="28"/>
                <w:lang w:eastAsia="en-GB"/>
              </w:rPr>
              <w:tab/>
            </w:r>
            <w:r w:rsidR="00EE49CD" w:rsidRPr="00EE49C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Proiectul de lege </w:t>
            </w:r>
            <w:r w:rsidR="003532C8" w:rsidRPr="003532C8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cu privire la modificarea unor acte legislative</w:t>
            </w:r>
            <w:r w:rsidR="00EE49C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Pr="00874E6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este elaborat de către Ministerul </w:t>
            </w:r>
            <w:r w:rsidR="00E56445">
              <w:rPr>
                <w:rFonts w:ascii="Times New Roman" w:hAnsi="Times New Roman"/>
                <w:sz w:val="28"/>
                <w:szCs w:val="28"/>
                <w:lang w:eastAsia="en-GB"/>
              </w:rPr>
              <w:t>Finanțelor</w:t>
            </w:r>
            <w:r w:rsidR="003532C8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="003532C8" w:rsidRPr="003532C8">
              <w:rPr>
                <w:rFonts w:ascii="Times New Roman" w:hAnsi="Times New Roman"/>
                <w:sz w:val="28"/>
                <w:szCs w:val="28"/>
                <w:lang w:eastAsia="en-GB"/>
              </w:rPr>
              <w:t>în vederea implementării punctului III al Deciziei Consiliului Suprem de Securitate nr.01/1-02-20 din 04.12.2019</w:t>
            </w:r>
            <w:r w:rsidR="002330A8">
              <w:rPr>
                <w:rFonts w:ascii="Times New Roman" w:hAnsi="Times New Roman"/>
                <w:sz w:val="28"/>
                <w:szCs w:val="28"/>
                <w:lang w:eastAsia="en-GB"/>
              </w:rPr>
              <w:t>.</w:t>
            </w:r>
          </w:p>
        </w:tc>
      </w:tr>
      <w:tr w:rsidR="00A4707A" w:rsidRPr="00874E67" w:rsidTr="005F6388">
        <w:trPr>
          <w:trHeight w:val="183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4707A" w:rsidRPr="00874E67" w:rsidRDefault="005B62D9" w:rsidP="0021754F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4E67">
              <w:rPr>
                <w:rFonts w:ascii="Times New Roman" w:hAnsi="Times New Roman"/>
                <w:b/>
                <w:sz w:val="28"/>
                <w:szCs w:val="28"/>
              </w:rPr>
              <w:t>Condi</w:t>
            </w:r>
            <w:r w:rsidR="00DE6507" w:rsidRPr="00874E67">
              <w:rPr>
                <w:rFonts w:ascii="Times New Roman" w:hAnsi="Times New Roman"/>
                <w:b/>
                <w:sz w:val="28"/>
                <w:szCs w:val="28"/>
              </w:rPr>
              <w:t>ț</w:t>
            </w:r>
            <w:r w:rsidRPr="00874E67">
              <w:rPr>
                <w:rFonts w:ascii="Times New Roman" w:hAnsi="Times New Roman"/>
                <w:b/>
                <w:sz w:val="28"/>
                <w:szCs w:val="28"/>
              </w:rPr>
              <w:t>iile ce au impus elaborarea proiectului de act normativ</w:t>
            </w:r>
            <w:r w:rsidR="0021754F" w:rsidRPr="00874E67">
              <w:rPr>
                <w:rFonts w:ascii="Times New Roman" w:hAnsi="Times New Roman"/>
                <w:b/>
                <w:sz w:val="28"/>
                <w:szCs w:val="28"/>
              </w:rPr>
              <w:t>, finalitățile urmărite</w:t>
            </w:r>
          </w:p>
        </w:tc>
      </w:tr>
      <w:tr w:rsidR="00A4707A" w:rsidRPr="00874E67" w:rsidTr="00017ED9">
        <w:trPr>
          <w:trHeight w:val="1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F1B" w:rsidRDefault="00756C9D" w:rsidP="003C6A54">
            <w:pPr>
              <w:spacing w:after="0" w:line="240" w:lineRule="auto"/>
              <w:ind w:firstLine="60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51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În vederea executării obligațiilor de plată derivate din garanțiile de stat eliberate în anii 2014 și 2015, Ministerul Finanțelor în temeiul Legii nr.235/2016, a emis și a transmis la 4 octombrie 2016 Băncii Naționale a Moldovei obligațiuni de stat în sumă de 13 341,2 mil. lei. Aceasta a constituit  suma creditelor neachitate Băncii Naționale a Moldovei de către „Banca de Economii” S.A., BC ”Banca Socială” S.A. și BC ”Unibank” S.A. la data emiterii obligațiunilor de stat.</w:t>
            </w:r>
            <w:r w:rsidR="003C6A54" w:rsidRPr="001251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15A38" w:rsidRPr="001251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Obligațiunile </w:t>
            </w:r>
            <w:r w:rsidR="003C6A54" w:rsidRPr="001251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de stat</w:t>
            </w:r>
            <w:r w:rsidR="002750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(OS)</w:t>
            </w:r>
            <w:r w:rsidR="003C6A54" w:rsidRPr="001251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au fost emise pe termene, cuprinse între 1 an și 25 de ani, la o rată </w:t>
            </w:r>
            <w:r w:rsidR="001041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efectivă a dobânzii de 5</w:t>
            </w:r>
            <w:r w:rsidR="009839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41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la sută</w:t>
            </w:r>
            <w:r w:rsidRPr="001251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4A522B" w:rsidRPr="004A522B">
              <w:rPr>
                <w:rFonts w:ascii="Arial" w:hAnsi="Arial" w:cs="Arial"/>
                <w:sz w:val="24"/>
                <w:szCs w:val="24"/>
                <w:lang w:eastAsia="ro-RO"/>
              </w:rPr>
              <w:t xml:space="preserve"> </w:t>
            </w:r>
            <w:r w:rsidR="004A522B" w:rsidRPr="004A52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Dobînzile </w:t>
            </w:r>
            <w:r w:rsidR="004A52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s</w:t>
            </w:r>
            <w:r w:rsidR="00E75D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înt </w:t>
            </w:r>
            <w:r w:rsidR="004A522B" w:rsidRPr="004A52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achit</w:t>
            </w:r>
            <w:r w:rsidR="00E75D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ate</w:t>
            </w:r>
            <w:r w:rsidR="004A522B" w:rsidRPr="004A52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semianual</w:t>
            </w:r>
            <w:r w:rsidR="004A52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către data de 4 a lunilor aprilie și octombrie a fiecărui an.</w:t>
            </w:r>
          </w:p>
          <w:p w:rsidR="00290B5B" w:rsidRDefault="00290B5B" w:rsidP="003C6A54">
            <w:pPr>
              <w:spacing w:after="0" w:line="240" w:lineRule="auto"/>
              <w:ind w:firstLine="60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B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În tabelul de mai jos </w:t>
            </w:r>
            <w:r w:rsidR="007F62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sunt prezentate</w:t>
            </w:r>
            <w:r w:rsidRPr="00290B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plățile care au fost efectuate până la </w:t>
            </w:r>
            <w:r w:rsidR="004A52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3532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290B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532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decembrie</w:t>
            </w:r>
            <w:r w:rsidRPr="00290B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2019, atât pentru achitarea sumei de principal cât și pentru achitarea dobânzilor aferente portofoliului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de obligațiuni</w:t>
            </w:r>
            <w:r w:rsidR="002750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de stat</w:t>
            </w:r>
            <w:r w:rsidRPr="00290B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precum și cheltuielile care urmează a fi suportate din contul bugetului de stat până când portofoliul respectiv va ajunge la maturitate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F6211" w:rsidRPr="00E75D56" w:rsidRDefault="00E75D56" w:rsidP="00E75D56">
            <w:pPr>
              <w:spacing w:after="0" w:line="240" w:lineRule="auto"/>
              <w:ind w:firstLine="60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mil. lei</w:t>
            </w:r>
          </w:p>
          <w:tbl>
            <w:tblPr>
              <w:tblStyle w:val="TableGrid"/>
              <w:tblW w:w="0" w:type="auto"/>
              <w:tblInd w:w="205" w:type="dxa"/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2126"/>
              <w:gridCol w:w="2268"/>
              <w:gridCol w:w="1276"/>
            </w:tblGrid>
            <w:tr w:rsidR="00290B5B" w:rsidRPr="00290B5B" w:rsidTr="007F6211">
              <w:tc>
                <w:tcPr>
                  <w:tcW w:w="3260" w:type="dxa"/>
                </w:tcPr>
                <w:p w:rsidR="00290B5B" w:rsidRPr="00290B5B" w:rsidRDefault="004A522B" w:rsidP="00E312C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E312C5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90B5B" w:rsidRPr="00290B5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312C5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dec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embrie</w:t>
                  </w:r>
                  <w:r w:rsidR="00290B5B" w:rsidRPr="00290B5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2019</w:t>
                  </w:r>
                </w:p>
              </w:tc>
              <w:tc>
                <w:tcPr>
                  <w:tcW w:w="2126" w:type="dxa"/>
                </w:tcPr>
                <w:p w:rsidR="00290B5B" w:rsidRPr="00290B5B" w:rsidRDefault="00290B5B" w:rsidP="00196749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0B5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Cheltuieli privind achitarea sumei de principal</w:t>
                  </w:r>
                </w:p>
              </w:tc>
              <w:tc>
                <w:tcPr>
                  <w:tcW w:w="2268" w:type="dxa"/>
                </w:tcPr>
                <w:p w:rsidR="00290B5B" w:rsidRPr="00290B5B" w:rsidRDefault="00290B5B" w:rsidP="0098394D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0B5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Cheltuieli privind achitarea dobânzii (la rat</w:t>
                  </w:r>
                  <w:r w:rsidR="0098394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a</w:t>
                  </w:r>
                  <w:r w:rsidRPr="00290B5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8394D" w:rsidRPr="00290B5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efectivă </w:t>
                  </w:r>
                  <w:r w:rsidR="0098394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a</w:t>
                  </w:r>
                  <w:r w:rsidRPr="00290B5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dobân</w:t>
                  </w:r>
                  <w:r w:rsidR="0098394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zii</w:t>
                  </w:r>
                  <w:r w:rsidRPr="00290B5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de 5%)</w:t>
                  </w:r>
                </w:p>
              </w:tc>
              <w:tc>
                <w:tcPr>
                  <w:tcW w:w="1276" w:type="dxa"/>
                </w:tcPr>
                <w:p w:rsidR="00290B5B" w:rsidRPr="00290B5B" w:rsidRDefault="00290B5B" w:rsidP="00196749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0B5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Costul total de deservire</w:t>
                  </w:r>
                </w:p>
              </w:tc>
            </w:tr>
            <w:tr w:rsidR="00290B5B" w:rsidRPr="00290B5B" w:rsidTr="007F6211">
              <w:tc>
                <w:tcPr>
                  <w:tcW w:w="3260" w:type="dxa"/>
                </w:tcPr>
                <w:p w:rsidR="00290B5B" w:rsidRPr="00290B5B" w:rsidRDefault="00290B5B" w:rsidP="00E312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0B5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Plăți efectuate până la data </w:t>
                  </w:r>
                  <w:r w:rsidR="0027501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de </w:t>
                  </w:r>
                  <w:r w:rsidR="004A522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E312C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7501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312C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dec</w:t>
                  </w:r>
                  <w:r w:rsidR="004A522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embrie</w:t>
                  </w:r>
                  <w:r w:rsidR="0027501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</w:t>
                  </w:r>
                </w:p>
              </w:tc>
              <w:tc>
                <w:tcPr>
                  <w:tcW w:w="2126" w:type="dxa"/>
                </w:tcPr>
                <w:p w:rsidR="00290B5B" w:rsidRPr="00290B5B" w:rsidRDefault="0027501D" w:rsidP="0027501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490,0</w:t>
                  </w:r>
                </w:p>
              </w:tc>
              <w:tc>
                <w:tcPr>
                  <w:tcW w:w="2268" w:type="dxa"/>
                </w:tcPr>
                <w:p w:rsidR="00290B5B" w:rsidRPr="00290B5B" w:rsidRDefault="0027501D" w:rsidP="0027501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1 850,2</w:t>
                  </w:r>
                </w:p>
              </w:tc>
              <w:tc>
                <w:tcPr>
                  <w:tcW w:w="1276" w:type="dxa"/>
                </w:tcPr>
                <w:p w:rsidR="00290B5B" w:rsidRPr="00290B5B" w:rsidRDefault="0027501D" w:rsidP="0027501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2 340,2</w:t>
                  </w:r>
                </w:p>
              </w:tc>
            </w:tr>
            <w:tr w:rsidR="00290B5B" w:rsidRPr="00290B5B" w:rsidTr="007F6211">
              <w:tc>
                <w:tcPr>
                  <w:tcW w:w="3260" w:type="dxa"/>
                </w:tcPr>
                <w:p w:rsidR="00290B5B" w:rsidRPr="00290B5B" w:rsidRDefault="00290B5B" w:rsidP="00E312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0B5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Plăți ce urmează a fi suportate (la situația din </w:t>
                  </w:r>
                  <w:r w:rsidR="004A522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E312C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290B5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312C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dec</w:t>
                  </w:r>
                  <w:r w:rsidR="004A522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embrie</w:t>
                  </w:r>
                  <w:r w:rsidRPr="00290B5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2019)</w:t>
                  </w:r>
                </w:p>
              </w:tc>
              <w:tc>
                <w:tcPr>
                  <w:tcW w:w="2126" w:type="dxa"/>
                </w:tcPr>
                <w:p w:rsidR="00290B5B" w:rsidRPr="00290B5B" w:rsidRDefault="0027501D" w:rsidP="0027501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12 851,2</w:t>
                  </w:r>
                </w:p>
              </w:tc>
              <w:tc>
                <w:tcPr>
                  <w:tcW w:w="2268" w:type="dxa"/>
                </w:tcPr>
                <w:p w:rsidR="00290B5B" w:rsidRPr="00290B5B" w:rsidRDefault="0027501D" w:rsidP="0027501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9 332,4</w:t>
                  </w:r>
                </w:p>
              </w:tc>
              <w:tc>
                <w:tcPr>
                  <w:tcW w:w="1276" w:type="dxa"/>
                </w:tcPr>
                <w:p w:rsidR="00290B5B" w:rsidRPr="00290B5B" w:rsidRDefault="0027501D" w:rsidP="0027501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22 183,6</w:t>
                  </w:r>
                </w:p>
              </w:tc>
            </w:tr>
            <w:tr w:rsidR="00290B5B" w:rsidRPr="00290B5B" w:rsidTr="007F6211">
              <w:tc>
                <w:tcPr>
                  <w:tcW w:w="3260" w:type="dxa"/>
                </w:tcPr>
                <w:p w:rsidR="00290B5B" w:rsidRPr="00290B5B" w:rsidRDefault="00290B5B" w:rsidP="003C6A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0B5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Total cheltuieli de deservire (2017- 2041)</w:t>
                  </w:r>
                </w:p>
              </w:tc>
              <w:tc>
                <w:tcPr>
                  <w:tcW w:w="2126" w:type="dxa"/>
                </w:tcPr>
                <w:p w:rsidR="00290B5B" w:rsidRPr="00290B5B" w:rsidRDefault="0027501D" w:rsidP="0027501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13 341,2</w:t>
                  </w:r>
                </w:p>
              </w:tc>
              <w:tc>
                <w:tcPr>
                  <w:tcW w:w="2268" w:type="dxa"/>
                </w:tcPr>
                <w:p w:rsidR="00290B5B" w:rsidRPr="00290B5B" w:rsidRDefault="0027501D" w:rsidP="0027501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11 182,6</w:t>
                  </w:r>
                </w:p>
              </w:tc>
              <w:tc>
                <w:tcPr>
                  <w:tcW w:w="1276" w:type="dxa"/>
                </w:tcPr>
                <w:p w:rsidR="00290B5B" w:rsidRPr="00290B5B" w:rsidRDefault="0027501D" w:rsidP="0027501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24 523,8</w:t>
                  </w:r>
                </w:p>
              </w:tc>
            </w:tr>
          </w:tbl>
          <w:p w:rsidR="00F0258E" w:rsidRPr="00874E67" w:rsidRDefault="005A6708" w:rsidP="003532C8">
            <w:pPr>
              <w:spacing w:after="0" w:line="240" w:lineRule="auto"/>
              <w:ind w:firstLine="60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51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Astfel, în scopul d</w:t>
            </w:r>
            <w:r w:rsidR="00515A38" w:rsidRPr="001251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iminu</w:t>
            </w:r>
            <w:r w:rsidRPr="001251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ării</w:t>
            </w:r>
            <w:r w:rsidR="00515A38" w:rsidRPr="001251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presiunii </w:t>
            </w:r>
            <w:r w:rsidR="003558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financiare </w:t>
            </w:r>
            <w:r w:rsidRPr="001251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asupra </w:t>
            </w:r>
            <w:r w:rsidR="00515A38" w:rsidRPr="001251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bugetului de stat </w:t>
            </w:r>
            <w:r w:rsidRPr="001251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pe termen mediu și lung </w:t>
            </w:r>
            <w:r w:rsidR="00EE12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ca </w:t>
            </w:r>
            <w:r w:rsidR="00515A38" w:rsidRPr="001251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urmare a deservirii obligațiunilor de stat emise</w:t>
            </w:r>
            <w:r w:rsidRPr="001251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în anul 2016 se impune necesitatea </w:t>
            </w:r>
            <w:r w:rsidR="004A52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revizuirii</w:t>
            </w:r>
            <w:r w:rsidRPr="001251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532C8" w:rsidRPr="003532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Leg</w:t>
            </w:r>
            <w:r w:rsidR="003532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</w:t>
            </w:r>
            <w:r w:rsidR="003532C8" w:rsidRPr="003532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nr.548/1995 cu privire la Banca Naţională a Moldovei </w:t>
            </w:r>
            <w:r w:rsidR="003532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și </w:t>
            </w:r>
            <w:r w:rsidRPr="001251E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Legii nr.235/2016 privind emisiunea obligațiunilor de stat în vederea executării de către Ministerul Finanțelor a obligațiilor de plată derivate din garanțiile de stat </w:t>
            </w:r>
            <w:r w:rsidRPr="001251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nr.807 din 17 noiembrie 2014 și nr.101 din 1 aprilie 2015</w:t>
            </w:r>
            <w:r w:rsidR="003532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F4F09" w:rsidRPr="00874E67" w:rsidTr="002F7F74">
        <w:trPr>
          <w:trHeight w:val="1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F4F09" w:rsidRPr="00874E67" w:rsidRDefault="00AF4F09" w:rsidP="00090959">
            <w:pPr>
              <w:pStyle w:val="HTMLPreformatted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Descrierea gradului de compatibilitate pentru proiectele care au scop armonizarea legislației naționale cu legislația Uniunii Europene</w:t>
            </w:r>
          </w:p>
        </w:tc>
      </w:tr>
      <w:tr w:rsidR="00AF4F09" w:rsidRPr="00874E67" w:rsidTr="002F7F74">
        <w:trPr>
          <w:trHeight w:val="1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F09" w:rsidRPr="00874E67" w:rsidRDefault="00AF4F09" w:rsidP="00690250">
            <w:pPr>
              <w:spacing w:after="240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4F09">
              <w:rPr>
                <w:rFonts w:ascii="Times New Roman" w:hAnsi="Times New Roman"/>
                <w:bCs/>
                <w:sz w:val="28"/>
                <w:szCs w:val="28"/>
              </w:rPr>
              <w:t>Proiectul nu are drept scop armonizarea legislației naționale cu legislația Uniunii Europene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690250">
              <w:t xml:space="preserve"> </w:t>
            </w:r>
            <w:r w:rsidR="00690250" w:rsidRPr="00690250">
              <w:rPr>
                <w:rFonts w:ascii="Times New Roman" w:hAnsi="Times New Roman"/>
                <w:bCs/>
                <w:sz w:val="28"/>
                <w:szCs w:val="28"/>
              </w:rPr>
              <w:t>Totodată,</w:t>
            </w:r>
            <w:r w:rsidR="00690250">
              <w:t xml:space="preserve"> </w:t>
            </w:r>
            <w:r w:rsidR="00690250" w:rsidRPr="00690250">
              <w:rPr>
                <w:rFonts w:ascii="Times New Roman" w:hAnsi="Times New Roman"/>
                <w:bCs/>
                <w:sz w:val="28"/>
                <w:szCs w:val="28"/>
              </w:rPr>
              <w:t>proiectul de lege a fost consultat și agreat cu Fondul Monetar Internațional.</w:t>
            </w:r>
          </w:p>
        </w:tc>
      </w:tr>
      <w:tr w:rsidR="005B62D9" w:rsidRPr="00874E67" w:rsidTr="005F6388">
        <w:trPr>
          <w:trHeight w:val="1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B62D9" w:rsidRPr="00874E67" w:rsidRDefault="005B62D9" w:rsidP="00090959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74E67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lastRenderedPageBreak/>
              <w:t>Principalele prevederi ale proiectului şi evi</w:t>
            </w:r>
            <w:r w:rsidR="00DE6507" w:rsidRPr="00874E67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denț</w:t>
            </w:r>
            <w:r w:rsidRPr="00874E67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ierea elementelor noi</w:t>
            </w:r>
          </w:p>
        </w:tc>
      </w:tr>
      <w:tr w:rsidR="005B62D9" w:rsidRPr="00874E67" w:rsidTr="00F679A2">
        <w:trPr>
          <w:trHeight w:val="421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32C8" w:rsidRDefault="00515A38" w:rsidP="00F547F7">
            <w:pPr>
              <w:spacing w:after="0" w:line="240" w:lineRule="auto"/>
              <w:ind w:firstLine="6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Prin </w:t>
            </w:r>
            <w:r w:rsidRPr="000E1385">
              <w:rPr>
                <w:rFonts w:ascii="Times New Roman" w:hAnsi="Times New Roman"/>
                <w:bCs/>
                <w:sz w:val="28"/>
                <w:szCs w:val="28"/>
              </w:rPr>
              <w:t xml:space="preserve">proiectul </w:t>
            </w:r>
            <w:r w:rsidR="000E1385" w:rsidRPr="000E1385">
              <w:rPr>
                <w:rFonts w:ascii="Times New Roman" w:hAnsi="Times New Roman"/>
                <w:bCs/>
                <w:sz w:val="28"/>
                <w:szCs w:val="28"/>
              </w:rPr>
              <w:t xml:space="preserve">de lege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se propune </w:t>
            </w:r>
            <w:r w:rsidR="003532C8" w:rsidRPr="003532C8">
              <w:rPr>
                <w:rFonts w:ascii="Times New Roman" w:hAnsi="Times New Roman"/>
                <w:bCs/>
                <w:sz w:val="28"/>
                <w:szCs w:val="28"/>
              </w:rPr>
              <w:t xml:space="preserve">stabilirea </w:t>
            </w:r>
            <w:r w:rsidR="003532C8">
              <w:rPr>
                <w:rFonts w:ascii="Times New Roman" w:hAnsi="Times New Roman"/>
                <w:bCs/>
                <w:sz w:val="28"/>
                <w:szCs w:val="28"/>
              </w:rPr>
              <w:t>în Legea nr.</w:t>
            </w:r>
            <w:r w:rsidR="003532C8">
              <w:t xml:space="preserve"> </w:t>
            </w:r>
            <w:r w:rsidR="003532C8" w:rsidRPr="003532C8">
              <w:rPr>
                <w:rFonts w:ascii="Times New Roman" w:hAnsi="Times New Roman"/>
                <w:bCs/>
                <w:sz w:val="28"/>
                <w:szCs w:val="28"/>
              </w:rPr>
              <w:t>548/1995 cu privire la Banca Naţională a Moldovei</w:t>
            </w:r>
            <w:r w:rsidR="003532C8">
              <w:rPr>
                <w:rFonts w:ascii="Times New Roman" w:hAnsi="Times New Roman"/>
                <w:bCs/>
                <w:sz w:val="28"/>
                <w:szCs w:val="28"/>
              </w:rPr>
              <w:t xml:space="preserve"> a </w:t>
            </w:r>
            <w:r w:rsidR="003532C8" w:rsidRPr="003532C8">
              <w:rPr>
                <w:rFonts w:ascii="Times New Roman" w:hAnsi="Times New Roman"/>
                <w:bCs/>
                <w:sz w:val="28"/>
                <w:szCs w:val="28"/>
              </w:rPr>
              <w:t xml:space="preserve">unui nou mod de alocare a profitului disponibil pentru distribuire al Băncii Naționale a Moldovei la venitul bugetului de stat, în funcție de </w:t>
            </w:r>
            <w:r w:rsidR="003532C8">
              <w:rPr>
                <w:rFonts w:ascii="Times New Roman" w:hAnsi="Times New Roman"/>
                <w:bCs/>
                <w:sz w:val="28"/>
                <w:szCs w:val="28"/>
              </w:rPr>
              <w:t>ponderea</w:t>
            </w:r>
            <w:r w:rsidR="003532C8" w:rsidRPr="003532C8">
              <w:rPr>
                <w:rFonts w:ascii="Times New Roman" w:hAnsi="Times New Roman"/>
                <w:bCs/>
                <w:sz w:val="28"/>
                <w:szCs w:val="28"/>
              </w:rPr>
              <w:t xml:space="preserve"> capitalului statutar în totalul obligațiunilor monetare ale Băncii Naționale a Moldovei</w:t>
            </w:r>
            <w:r w:rsidR="003532C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406A7B" w:rsidRPr="00874E67" w:rsidRDefault="002E31D9" w:rsidP="002E31D9">
            <w:pPr>
              <w:spacing w:after="0" w:line="240" w:lineRule="auto"/>
              <w:ind w:firstLine="6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În acest context</w:t>
            </w:r>
            <w:r w:rsidR="003C7067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="003532C8">
              <w:rPr>
                <w:rFonts w:ascii="Times New Roman" w:hAnsi="Times New Roman"/>
                <w:iCs/>
                <w:sz w:val="28"/>
                <w:szCs w:val="28"/>
              </w:rPr>
              <w:t xml:space="preserve">se propun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și </w:t>
            </w:r>
            <w:r w:rsidR="003532C8">
              <w:rPr>
                <w:rFonts w:ascii="Times New Roman" w:hAnsi="Times New Roman"/>
                <w:iCs/>
                <w:sz w:val="28"/>
                <w:szCs w:val="28"/>
              </w:rPr>
              <w:t xml:space="preserve">unele ajustări în </w:t>
            </w:r>
            <w:r w:rsidR="003532C8" w:rsidRPr="003532C8">
              <w:rPr>
                <w:rFonts w:ascii="Times New Roman" w:hAnsi="Times New Roman"/>
                <w:iCs/>
                <w:sz w:val="28"/>
                <w:szCs w:val="28"/>
              </w:rPr>
              <w:t>Legea nr.235/2016 privind emisiunea obligațiunilor de stat în vederea executării de către Ministerul Finanțelor a obligațiilor de plată derivate din garanțiile de stat nr.807 din 17 noiembrie 2014 și nr.101 din 1 aprilie 2015</w:t>
            </w:r>
            <w:r w:rsidR="003C7067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F547F7" w:rsidRPr="00F547F7">
              <w:rPr>
                <w:rFonts w:ascii="Times New Roman" w:hAnsi="Times New Roman"/>
                <w:b/>
                <w:iCs/>
                <w:sz w:val="28"/>
                <w:szCs w:val="28"/>
              </w:rPr>
              <w:tab/>
            </w:r>
          </w:p>
        </w:tc>
      </w:tr>
      <w:tr w:rsidR="005A58A3" w:rsidRPr="00874E67" w:rsidTr="005F6388">
        <w:trPr>
          <w:trHeight w:val="1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A58A3" w:rsidRPr="00874E67" w:rsidRDefault="005A58A3" w:rsidP="009F12B4">
            <w:pPr>
              <w:tabs>
                <w:tab w:val="left" w:pos="462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74E67">
              <w:rPr>
                <w:rFonts w:ascii="Times New Roman" w:hAnsi="Times New Roman"/>
                <w:b/>
                <w:sz w:val="28"/>
                <w:szCs w:val="28"/>
              </w:rPr>
              <w:t>Fundamentarea economico-financiară</w:t>
            </w:r>
          </w:p>
        </w:tc>
      </w:tr>
      <w:tr w:rsidR="005A58A3" w:rsidRPr="00874E67" w:rsidTr="003532C8">
        <w:trPr>
          <w:trHeight w:val="1368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2FB8" w:rsidRPr="00874E67" w:rsidRDefault="00090959" w:rsidP="00971A75">
            <w:pPr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E67">
              <w:rPr>
                <w:rFonts w:ascii="Times New Roman" w:hAnsi="Times New Roman"/>
                <w:sz w:val="28"/>
                <w:szCs w:val="28"/>
              </w:rPr>
              <w:t>Implementarea p</w:t>
            </w:r>
            <w:r w:rsidR="00901A7E" w:rsidRPr="00874E67">
              <w:rPr>
                <w:rFonts w:ascii="Times New Roman" w:hAnsi="Times New Roman"/>
                <w:sz w:val="28"/>
                <w:szCs w:val="28"/>
              </w:rPr>
              <w:t>roiectul</w:t>
            </w:r>
            <w:r w:rsidRPr="00874E67">
              <w:rPr>
                <w:rFonts w:ascii="Times New Roman" w:hAnsi="Times New Roman"/>
                <w:sz w:val="28"/>
                <w:szCs w:val="28"/>
              </w:rPr>
              <w:t>ui</w:t>
            </w:r>
            <w:r w:rsidR="005A58A3" w:rsidRPr="00874E67">
              <w:rPr>
                <w:rFonts w:ascii="Times New Roman" w:hAnsi="Times New Roman"/>
                <w:sz w:val="28"/>
                <w:szCs w:val="28"/>
              </w:rPr>
              <w:t xml:space="preserve"> nu </w:t>
            </w:r>
            <w:r w:rsidRPr="00874E67">
              <w:rPr>
                <w:rFonts w:ascii="Times New Roman" w:hAnsi="Times New Roman"/>
                <w:sz w:val="28"/>
                <w:szCs w:val="28"/>
              </w:rPr>
              <w:t>n</w:t>
            </w:r>
            <w:r w:rsidR="005A58A3" w:rsidRPr="00874E67">
              <w:rPr>
                <w:rFonts w:ascii="Times New Roman" w:hAnsi="Times New Roman"/>
                <w:sz w:val="28"/>
                <w:szCs w:val="28"/>
              </w:rPr>
              <w:t>ecesit</w:t>
            </w:r>
            <w:r w:rsidRPr="00874E67">
              <w:rPr>
                <w:rFonts w:ascii="Times New Roman" w:hAnsi="Times New Roman"/>
                <w:sz w:val="28"/>
                <w:szCs w:val="28"/>
              </w:rPr>
              <w:t>ă</w:t>
            </w:r>
            <w:r w:rsidR="005A58A3" w:rsidRPr="00874E67">
              <w:rPr>
                <w:rFonts w:ascii="Times New Roman" w:hAnsi="Times New Roman"/>
                <w:sz w:val="28"/>
                <w:szCs w:val="28"/>
              </w:rPr>
              <w:t xml:space="preserve"> alocarea </w:t>
            </w:r>
            <w:r w:rsidRPr="00874E67">
              <w:rPr>
                <w:rFonts w:ascii="Times New Roman" w:hAnsi="Times New Roman"/>
                <w:sz w:val="28"/>
                <w:szCs w:val="28"/>
              </w:rPr>
              <w:t xml:space="preserve">unor </w:t>
            </w:r>
            <w:r w:rsidR="005A58A3" w:rsidRPr="00874E67">
              <w:rPr>
                <w:rFonts w:ascii="Times New Roman" w:hAnsi="Times New Roman"/>
                <w:sz w:val="28"/>
                <w:szCs w:val="28"/>
              </w:rPr>
              <w:t>mijloace</w:t>
            </w:r>
            <w:r w:rsidRPr="00874E67">
              <w:rPr>
                <w:rFonts w:ascii="Times New Roman" w:hAnsi="Times New Roman"/>
                <w:sz w:val="28"/>
                <w:szCs w:val="28"/>
              </w:rPr>
              <w:t xml:space="preserve"> financiare</w:t>
            </w:r>
            <w:r w:rsidR="00A8725F" w:rsidRPr="00874E67">
              <w:rPr>
                <w:rFonts w:ascii="Times New Roman" w:hAnsi="Times New Roman"/>
                <w:sz w:val="28"/>
                <w:szCs w:val="28"/>
              </w:rPr>
              <w:t xml:space="preserve"> suplimentare din bugetul de stat</w:t>
            </w:r>
            <w:r w:rsidRPr="00874E67">
              <w:rPr>
                <w:rFonts w:ascii="Times New Roman" w:hAnsi="Times New Roman"/>
                <w:sz w:val="28"/>
                <w:szCs w:val="28"/>
              </w:rPr>
              <w:t>.</w:t>
            </w:r>
            <w:r w:rsidR="00F679A2">
              <w:t xml:space="preserve"> </w:t>
            </w:r>
            <w:r w:rsidR="00F679A2" w:rsidRPr="00F679A2">
              <w:rPr>
                <w:rFonts w:ascii="Times New Roman" w:hAnsi="Times New Roman"/>
                <w:sz w:val="28"/>
                <w:szCs w:val="28"/>
              </w:rPr>
              <w:t>Totodată, prin implementarea prevederilor proiectului de lege</w:t>
            </w:r>
            <w:r w:rsidR="00A15B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79A2" w:rsidRPr="00F679A2">
              <w:rPr>
                <w:rFonts w:ascii="Times New Roman" w:hAnsi="Times New Roman"/>
                <w:sz w:val="28"/>
                <w:szCs w:val="28"/>
              </w:rPr>
              <w:t xml:space="preserve">se va asigura </w:t>
            </w:r>
            <w:r w:rsidR="003532C8" w:rsidRPr="003532C8">
              <w:rPr>
                <w:rFonts w:ascii="Times New Roman" w:hAnsi="Times New Roman"/>
                <w:sz w:val="28"/>
                <w:szCs w:val="28"/>
              </w:rPr>
              <w:t>diminuarea poverii bugetare, legate de devalizarea sistemului bancar al Republicii Moldova</w:t>
            </w:r>
            <w:r w:rsidR="003532C8">
              <w:rPr>
                <w:rFonts w:ascii="Times New Roman" w:hAnsi="Times New Roman"/>
                <w:sz w:val="28"/>
                <w:szCs w:val="28"/>
              </w:rPr>
              <w:t>, în suma profitului</w:t>
            </w:r>
            <w:r w:rsidR="0058066B">
              <w:t xml:space="preserve"> </w:t>
            </w:r>
            <w:r w:rsidR="0058066B" w:rsidRPr="0058066B">
              <w:rPr>
                <w:rFonts w:ascii="Times New Roman" w:hAnsi="Times New Roman"/>
                <w:sz w:val="28"/>
                <w:szCs w:val="28"/>
              </w:rPr>
              <w:t>disponibil pentru distribuire al Băncii Naționale a Moldovei aferent anului financiar</w:t>
            </w:r>
            <w:r w:rsidR="00353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66B">
              <w:rPr>
                <w:rFonts w:ascii="Times New Roman" w:hAnsi="Times New Roman"/>
                <w:sz w:val="28"/>
                <w:szCs w:val="28"/>
              </w:rPr>
              <w:t>respectiv</w:t>
            </w:r>
            <w:r w:rsidR="00971A75">
              <w:rPr>
                <w:rFonts w:ascii="Times New Roman" w:hAnsi="Times New Roman"/>
                <w:sz w:val="28"/>
                <w:szCs w:val="28"/>
              </w:rPr>
              <w:t xml:space="preserve"> transferat la venitul bugetului de stat</w:t>
            </w:r>
            <w:r w:rsidR="00F679A2" w:rsidRPr="00F679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8725F" w:rsidRPr="00874E67" w:rsidTr="005F6388">
        <w:trPr>
          <w:trHeight w:val="1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8725F" w:rsidRPr="00874E67" w:rsidRDefault="00A8725F" w:rsidP="009F12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4E67">
              <w:rPr>
                <w:rFonts w:ascii="Times New Roman" w:hAnsi="Times New Roman"/>
                <w:b/>
                <w:sz w:val="28"/>
                <w:szCs w:val="28"/>
              </w:rPr>
              <w:t>Modul de încorporare a actului în cadrul normativ în vigoare</w:t>
            </w:r>
          </w:p>
        </w:tc>
      </w:tr>
      <w:tr w:rsidR="00A8725F" w:rsidRPr="00874E67" w:rsidTr="005F6388">
        <w:trPr>
          <w:trHeight w:val="1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25F" w:rsidRPr="00874E67" w:rsidRDefault="000E1385" w:rsidP="00F0258E">
            <w:pPr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Urmare </w:t>
            </w:r>
            <w:r w:rsidR="00F0258E">
              <w:rPr>
                <w:rFonts w:ascii="Times New Roman" w:hAnsi="Times New Roman"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aprobării proiectului de lege va fi necesar modificarea </w:t>
            </w:r>
            <w:r w:rsidRPr="000E1385">
              <w:rPr>
                <w:rFonts w:ascii="Times New Roman" w:hAnsi="Times New Roman"/>
                <w:i/>
                <w:sz w:val="28"/>
                <w:szCs w:val="28"/>
              </w:rPr>
              <w:t>Acordul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ui</w:t>
            </w:r>
            <w:r w:rsidRPr="000E1385">
              <w:rPr>
                <w:rFonts w:ascii="Times New Roman" w:hAnsi="Times New Roman"/>
                <w:i/>
                <w:sz w:val="28"/>
                <w:szCs w:val="28"/>
              </w:rPr>
              <w:t xml:space="preserve"> privind emisiunea și răscumpărarea obligațiunilor de stat în vederea executării obligațiilor Ministerului Finanțelor rezultante din garanțiile de stat</w:t>
            </w:r>
            <w:r w:rsidRPr="000E1385">
              <w:rPr>
                <w:rFonts w:ascii="Times New Roman" w:hAnsi="Times New Roman"/>
                <w:sz w:val="28"/>
                <w:szCs w:val="28"/>
              </w:rPr>
              <w:t>, semnat între Ministerul Finanțelor și Banca Naţională a Moldovei la 04 octombrie 2016</w:t>
            </w:r>
            <w:r w:rsidR="00A8725F" w:rsidRPr="00874E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D549C" w:rsidRDefault="00AD549C" w:rsidP="00684C5A">
      <w:pPr>
        <w:tabs>
          <w:tab w:val="left" w:pos="6750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8066B" w:rsidRDefault="0058066B" w:rsidP="00684C5A">
      <w:pPr>
        <w:tabs>
          <w:tab w:val="left" w:pos="6750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8066B" w:rsidRDefault="0058066B" w:rsidP="00684C5A">
      <w:pPr>
        <w:tabs>
          <w:tab w:val="left" w:pos="6750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58E" w:rsidRDefault="00F0258E" w:rsidP="00684C5A">
      <w:pPr>
        <w:tabs>
          <w:tab w:val="left" w:pos="6750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F0258E" w:rsidSect="00515A38">
      <w:pgSz w:w="11906" w:h="16838"/>
      <w:pgMar w:top="993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33E" w:rsidRDefault="00C8633E" w:rsidP="003C6A54">
      <w:pPr>
        <w:spacing w:after="0" w:line="240" w:lineRule="auto"/>
      </w:pPr>
      <w:r>
        <w:separator/>
      </w:r>
    </w:p>
  </w:endnote>
  <w:endnote w:type="continuationSeparator" w:id="0">
    <w:p w:rsidR="00C8633E" w:rsidRDefault="00C8633E" w:rsidP="003C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33E" w:rsidRDefault="00C8633E" w:rsidP="003C6A54">
      <w:pPr>
        <w:spacing w:after="0" w:line="240" w:lineRule="auto"/>
      </w:pPr>
      <w:r>
        <w:separator/>
      </w:r>
    </w:p>
  </w:footnote>
  <w:footnote w:type="continuationSeparator" w:id="0">
    <w:p w:rsidR="00C8633E" w:rsidRDefault="00C8633E" w:rsidP="003C6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6FFD"/>
    <w:multiLevelType w:val="hybridMultilevel"/>
    <w:tmpl w:val="9EE6882A"/>
    <w:lvl w:ilvl="0" w:tplc="9E7CA320">
      <w:numFmt w:val="bullet"/>
      <w:lvlText w:val="-"/>
      <w:lvlJc w:val="left"/>
      <w:pPr>
        <w:ind w:left="96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" w15:restartNumberingAfterBreak="0">
    <w:nsid w:val="1B6A6052"/>
    <w:multiLevelType w:val="hybridMultilevel"/>
    <w:tmpl w:val="D780DD82"/>
    <w:lvl w:ilvl="0" w:tplc="671C194C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" w15:restartNumberingAfterBreak="0">
    <w:nsid w:val="2DA014CD"/>
    <w:multiLevelType w:val="hybridMultilevel"/>
    <w:tmpl w:val="E2B842C8"/>
    <w:lvl w:ilvl="0" w:tplc="033C66F2">
      <w:start w:val="15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825D87"/>
    <w:multiLevelType w:val="hybridMultilevel"/>
    <w:tmpl w:val="07BC2D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92035"/>
    <w:multiLevelType w:val="hybridMultilevel"/>
    <w:tmpl w:val="D780DD82"/>
    <w:lvl w:ilvl="0" w:tplc="671C194C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5" w15:restartNumberingAfterBreak="0">
    <w:nsid w:val="3FAE27CE"/>
    <w:multiLevelType w:val="hybridMultilevel"/>
    <w:tmpl w:val="36CEE896"/>
    <w:lvl w:ilvl="0" w:tplc="FD567AC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4F94346"/>
    <w:multiLevelType w:val="hybridMultilevel"/>
    <w:tmpl w:val="0A8638DE"/>
    <w:lvl w:ilvl="0" w:tplc="C1CAD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9157AF0"/>
    <w:multiLevelType w:val="hybridMultilevel"/>
    <w:tmpl w:val="DF36D1F4"/>
    <w:lvl w:ilvl="0" w:tplc="2F564C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238C9"/>
    <w:multiLevelType w:val="hybridMultilevel"/>
    <w:tmpl w:val="371C76DC"/>
    <w:lvl w:ilvl="0" w:tplc="FA02CE9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2F41FD8"/>
    <w:multiLevelType w:val="hybridMultilevel"/>
    <w:tmpl w:val="1BB08250"/>
    <w:lvl w:ilvl="0" w:tplc="DAB4BF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2A3535"/>
    <w:multiLevelType w:val="hybridMultilevel"/>
    <w:tmpl w:val="8AC41216"/>
    <w:lvl w:ilvl="0" w:tplc="6BEA68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25E5EF5"/>
    <w:multiLevelType w:val="hybridMultilevel"/>
    <w:tmpl w:val="25BAC4A8"/>
    <w:lvl w:ilvl="0" w:tplc="E9E0F994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D23D9"/>
    <w:multiLevelType w:val="hybridMultilevel"/>
    <w:tmpl w:val="06A40F04"/>
    <w:lvl w:ilvl="0" w:tplc="821E4A02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28"/>
    <w:rsid w:val="00000F1B"/>
    <w:rsid w:val="0000467F"/>
    <w:rsid w:val="000102DC"/>
    <w:rsid w:val="00017ED9"/>
    <w:rsid w:val="00027474"/>
    <w:rsid w:val="00031D62"/>
    <w:rsid w:val="00033A87"/>
    <w:rsid w:val="00036888"/>
    <w:rsid w:val="000420E9"/>
    <w:rsid w:val="000433CA"/>
    <w:rsid w:val="00050F33"/>
    <w:rsid w:val="0006026F"/>
    <w:rsid w:val="00072EF4"/>
    <w:rsid w:val="00074C60"/>
    <w:rsid w:val="00090959"/>
    <w:rsid w:val="00090B5C"/>
    <w:rsid w:val="000C46C1"/>
    <w:rsid w:val="000D4007"/>
    <w:rsid w:val="000E1385"/>
    <w:rsid w:val="000E6241"/>
    <w:rsid w:val="000F5920"/>
    <w:rsid w:val="001041F2"/>
    <w:rsid w:val="00106F81"/>
    <w:rsid w:val="0011107D"/>
    <w:rsid w:val="00120712"/>
    <w:rsid w:val="001224BE"/>
    <w:rsid w:val="001251EB"/>
    <w:rsid w:val="0014002D"/>
    <w:rsid w:val="001402C4"/>
    <w:rsid w:val="00155184"/>
    <w:rsid w:val="0015699A"/>
    <w:rsid w:val="001610B2"/>
    <w:rsid w:val="001622EA"/>
    <w:rsid w:val="001639E0"/>
    <w:rsid w:val="001720C6"/>
    <w:rsid w:val="0017624B"/>
    <w:rsid w:val="00180BDA"/>
    <w:rsid w:val="00195A7D"/>
    <w:rsid w:val="00196749"/>
    <w:rsid w:val="00197FB8"/>
    <w:rsid w:val="001A1478"/>
    <w:rsid w:val="001A212B"/>
    <w:rsid w:val="001A34E2"/>
    <w:rsid w:val="001C55F1"/>
    <w:rsid w:val="001D0607"/>
    <w:rsid w:val="001D19C8"/>
    <w:rsid w:val="001D3D5B"/>
    <w:rsid w:val="001F3A64"/>
    <w:rsid w:val="001F5DF5"/>
    <w:rsid w:val="0020298F"/>
    <w:rsid w:val="00205B2E"/>
    <w:rsid w:val="00212FF3"/>
    <w:rsid w:val="0021754F"/>
    <w:rsid w:val="00217D81"/>
    <w:rsid w:val="00224443"/>
    <w:rsid w:val="00225601"/>
    <w:rsid w:val="00225C15"/>
    <w:rsid w:val="00230F6D"/>
    <w:rsid w:val="00231978"/>
    <w:rsid w:val="002330A8"/>
    <w:rsid w:val="00252F02"/>
    <w:rsid w:val="0025307D"/>
    <w:rsid w:val="002721EF"/>
    <w:rsid w:val="0027501D"/>
    <w:rsid w:val="002838FC"/>
    <w:rsid w:val="002866AA"/>
    <w:rsid w:val="00286F1B"/>
    <w:rsid w:val="00290B5B"/>
    <w:rsid w:val="0029646F"/>
    <w:rsid w:val="002A6EE3"/>
    <w:rsid w:val="002A7E06"/>
    <w:rsid w:val="002B3E31"/>
    <w:rsid w:val="002B7764"/>
    <w:rsid w:val="002E1AE9"/>
    <w:rsid w:val="002E31D9"/>
    <w:rsid w:val="002F7F74"/>
    <w:rsid w:val="00304427"/>
    <w:rsid w:val="00311EF8"/>
    <w:rsid w:val="00312AF2"/>
    <w:rsid w:val="003134CD"/>
    <w:rsid w:val="00350660"/>
    <w:rsid w:val="00350D1B"/>
    <w:rsid w:val="00352894"/>
    <w:rsid w:val="003532C8"/>
    <w:rsid w:val="00355860"/>
    <w:rsid w:val="00363D42"/>
    <w:rsid w:val="00372CC1"/>
    <w:rsid w:val="003745B7"/>
    <w:rsid w:val="003A12E9"/>
    <w:rsid w:val="003A4845"/>
    <w:rsid w:val="003B65D9"/>
    <w:rsid w:val="003C6A54"/>
    <w:rsid w:val="003C7067"/>
    <w:rsid w:val="003E092A"/>
    <w:rsid w:val="00402051"/>
    <w:rsid w:val="00406A7B"/>
    <w:rsid w:val="00412B1F"/>
    <w:rsid w:val="00427F5A"/>
    <w:rsid w:val="004362D7"/>
    <w:rsid w:val="00440A0A"/>
    <w:rsid w:val="0044366B"/>
    <w:rsid w:val="004438DB"/>
    <w:rsid w:val="00446E91"/>
    <w:rsid w:val="00457F9B"/>
    <w:rsid w:val="00462466"/>
    <w:rsid w:val="00467B4F"/>
    <w:rsid w:val="004963E5"/>
    <w:rsid w:val="004A407E"/>
    <w:rsid w:val="004A522B"/>
    <w:rsid w:val="004A5F88"/>
    <w:rsid w:val="004A7576"/>
    <w:rsid w:val="004B40C4"/>
    <w:rsid w:val="004C0DF3"/>
    <w:rsid w:val="004C4B6E"/>
    <w:rsid w:val="004D7C0E"/>
    <w:rsid w:val="004E3048"/>
    <w:rsid w:val="004F7D3B"/>
    <w:rsid w:val="00506504"/>
    <w:rsid w:val="005130DD"/>
    <w:rsid w:val="00515A38"/>
    <w:rsid w:val="00515BE1"/>
    <w:rsid w:val="00542085"/>
    <w:rsid w:val="00544BBA"/>
    <w:rsid w:val="00550184"/>
    <w:rsid w:val="00552A16"/>
    <w:rsid w:val="00561280"/>
    <w:rsid w:val="00563CBE"/>
    <w:rsid w:val="005668DB"/>
    <w:rsid w:val="00567EDF"/>
    <w:rsid w:val="00570C69"/>
    <w:rsid w:val="005764BC"/>
    <w:rsid w:val="0058066B"/>
    <w:rsid w:val="005836EB"/>
    <w:rsid w:val="00585F02"/>
    <w:rsid w:val="0058613A"/>
    <w:rsid w:val="00586769"/>
    <w:rsid w:val="005A1A37"/>
    <w:rsid w:val="005A45C9"/>
    <w:rsid w:val="005A58A3"/>
    <w:rsid w:val="005A6708"/>
    <w:rsid w:val="005A707C"/>
    <w:rsid w:val="005B2C33"/>
    <w:rsid w:val="005B5EF2"/>
    <w:rsid w:val="005B62D9"/>
    <w:rsid w:val="005C3C7B"/>
    <w:rsid w:val="005D4B5A"/>
    <w:rsid w:val="005E20A5"/>
    <w:rsid w:val="005E2852"/>
    <w:rsid w:val="005F18B6"/>
    <w:rsid w:val="005F6388"/>
    <w:rsid w:val="00622F67"/>
    <w:rsid w:val="00626876"/>
    <w:rsid w:val="00630BA9"/>
    <w:rsid w:val="00635EAF"/>
    <w:rsid w:val="00644F36"/>
    <w:rsid w:val="00650DF3"/>
    <w:rsid w:val="0065208C"/>
    <w:rsid w:val="00652FB8"/>
    <w:rsid w:val="006604D2"/>
    <w:rsid w:val="00661212"/>
    <w:rsid w:val="00662726"/>
    <w:rsid w:val="0067520B"/>
    <w:rsid w:val="00675F4C"/>
    <w:rsid w:val="00684C5A"/>
    <w:rsid w:val="00690250"/>
    <w:rsid w:val="006A3E65"/>
    <w:rsid w:val="006A79A6"/>
    <w:rsid w:val="006B03A6"/>
    <w:rsid w:val="006C2FB3"/>
    <w:rsid w:val="006C3B06"/>
    <w:rsid w:val="006C420E"/>
    <w:rsid w:val="006D3D80"/>
    <w:rsid w:val="006D5DBB"/>
    <w:rsid w:val="006D66CA"/>
    <w:rsid w:val="006E0A0B"/>
    <w:rsid w:val="006E6257"/>
    <w:rsid w:val="006F4717"/>
    <w:rsid w:val="00702B2E"/>
    <w:rsid w:val="0070379E"/>
    <w:rsid w:val="007042A9"/>
    <w:rsid w:val="00717401"/>
    <w:rsid w:val="00720C71"/>
    <w:rsid w:val="00725125"/>
    <w:rsid w:val="00742A45"/>
    <w:rsid w:val="00746F82"/>
    <w:rsid w:val="00756C9D"/>
    <w:rsid w:val="00757885"/>
    <w:rsid w:val="0076172E"/>
    <w:rsid w:val="00764198"/>
    <w:rsid w:val="007829C2"/>
    <w:rsid w:val="00785728"/>
    <w:rsid w:val="007869D1"/>
    <w:rsid w:val="00793C26"/>
    <w:rsid w:val="00795485"/>
    <w:rsid w:val="00795610"/>
    <w:rsid w:val="007D7383"/>
    <w:rsid w:val="007E5395"/>
    <w:rsid w:val="007F4966"/>
    <w:rsid w:val="007F5DA3"/>
    <w:rsid w:val="007F6211"/>
    <w:rsid w:val="00804B21"/>
    <w:rsid w:val="0081156A"/>
    <w:rsid w:val="00814C8C"/>
    <w:rsid w:val="00820974"/>
    <w:rsid w:val="008429E8"/>
    <w:rsid w:val="00845DF8"/>
    <w:rsid w:val="00851783"/>
    <w:rsid w:val="0085354F"/>
    <w:rsid w:val="00863ABB"/>
    <w:rsid w:val="0087033A"/>
    <w:rsid w:val="00874E67"/>
    <w:rsid w:val="00875CF4"/>
    <w:rsid w:val="008802C5"/>
    <w:rsid w:val="0088706E"/>
    <w:rsid w:val="0089072A"/>
    <w:rsid w:val="00890B18"/>
    <w:rsid w:val="008973F9"/>
    <w:rsid w:val="008A6CC7"/>
    <w:rsid w:val="008C14D0"/>
    <w:rsid w:val="008C23C1"/>
    <w:rsid w:val="008C740F"/>
    <w:rsid w:val="008F6C9E"/>
    <w:rsid w:val="008F7DD5"/>
    <w:rsid w:val="00900D66"/>
    <w:rsid w:val="00901A7E"/>
    <w:rsid w:val="00906029"/>
    <w:rsid w:val="009325CD"/>
    <w:rsid w:val="009344B5"/>
    <w:rsid w:val="00941F38"/>
    <w:rsid w:val="00971A47"/>
    <w:rsid w:val="00971A75"/>
    <w:rsid w:val="0098394D"/>
    <w:rsid w:val="009848E9"/>
    <w:rsid w:val="009953BF"/>
    <w:rsid w:val="009A20A3"/>
    <w:rsid w:val="009B4738"/>
    <w:rsid w:val="009B773C"/>
    <w:rsid w:val="009D360D"/>
    <w:rsid w:val="009E538C"/>
    <w:rsid w:val="009F12B4"/>
    <w:rsid w:val="00A00071"/>
    <w:rsid w:val="00A01480"/>
    <w:rsid w:val="00A05B88"/>
    <w:rsid w:val="00A11473"/>
    <w:rsid w:val="00A15B31"/>
    <w:rsid w:val="00A2088E"/>
    <w:rsid w:val="00A233CE"/>
    <w:rsid w:val="00A27C6A"/>
    <w:rsid w:val="00A41B17"/>
    <w:rsid w:val="00A46A3B"/>
    <w:rsid w:val="00A4707A"/>
    <w:rsid w:val="00A510C9"/>
    <w:rsid w:val="00A522A1"/>
    <w:rsid w:val="00A55E72"/>
    <w:rsid w:val="00A56390"/>
    <w:rsid w:val="00A6766A"/>
    <w:rsid w:val="00A72D0B"/>
    <w:rsid w:val="00A74172"/>
    <w:rsid w:val="00A80609"/>
    <w:rsid w:val="00A858BC"/>
    <w:rsid w:val="00A8725F"/>
    <w:rsid w:val="00AB397C"/>
    <w:rsid w:val="00AC10EE"/>
    <w:rsid w:val="00AC1F51"/>
    <w:rsid w:val="00AD035B"/>
    <w:rsid w:val="00AD381D"/>
    <w:rsid w:val="00AD549C"/>
    <w:rsid w:val="00AE2E3F"/>
    <w:rsid w:val="00AE335A"/>
    <w:rsid w:val="00AF07D6"/>
    <w:rsid w:val="00AF3468"/>
    <w:rsid w:val="00AF4F09"/>
    <w:rsid w:val="00B023BA"/>
    <w:rsid w:val="00B3196A"/>
    <w:rsid w:val="00B341FD"/>
    <w:rsid w:val="00B46C24"/>
    <w:rsid w:val="00B577AF"/>
    <w:rsid w:val="00B63CDA"/>
    <w:rsid w:val="00B64CC4"/>
    <w:rsid w:val="00B80E29"/>
    <w:rsid w:val="00B83281"/>
    <w:rsid w:val="00B86ED7"/>
    <w:rsid w:val="00B948E2"/>
    <w:rsid w:val="00B94A2A"/>
    <w:rsid w:val="00B95517"/>
    <w:rsid w:val="00BA0B17"/>
    <w:rsid w:val="00BA298F"/>
    <w:rsid w:val="00BB1FC1"/>
    <w:rsid w:val="00BB3145"/>
    <w:rsid w:val="00BC3E5B"/>
    <w:rsid w:val="00BD0D68"/>
    <w:rsid w:val="00BD2F4C"/>
    <w:rsid w:val="00C06698"/>
    <w:rsid w:val="00C11D19"/>
    <w:rsid w:val="00C20B8B"/>
    <w:rsid w:val="00C47A58"/>
    <w:rsid w:val="00C52C79"/>
    <w:rsid w:val="00C6164A"/>
    <w:rsid w:val="00C61C7D"/>
    <w:rsid w:val="00C65194"/>
    <w:rsid w:val="00C7230D"/>
    <w:rsid w:val="00C73366"/>
    <w:rsid w:val="00C73F96"/>
    <w:rsid w:val="00C800A4"/>
    <w:rsid w:val="00C8633E"/>
    <w:rsid w:val="00C90E8B"/>
    <w:rsid w:val="00CA1BC9"/>
    <w:rsid w:val="00CA694F"/>
    <w:rsid w:val="00CD5250"/>
    <w:rsid w:val="00CD6B10"/>
    <w:rsid w:val="00CE51B1"/>
    <w:rsid w:val="00CE60FA"/>
    <w:rsid w:val="00D007A1"/>
    <w:rsid w:val="00D077C6"/>
    <w:rsid w:val="00D14BCE"/>
    <w:rsid w:val="00D1509D"/>
    <w:rsid w:val="00D26DED"/>
    <w:rsid w:val="00D33108"/>
    <w:rsid w:val="00D3468A"/>
    <w:rsid w:val="00D425C8"/>
    <w:rsid w:val="00D538A4"/>
    <w:rsid w:val="00D56BD2"/>
    <w:rsid w:val="00D97787"/>
    <w:rsid w:val="00DA5C8D"/>
    <w:rsid w:val="00DA69AA"/>
    <w:rsid w:val="00DB01B4"/>
    <w:rsid w:val="00DC129D"/>
    <w:rsid w:val="00DE175D"/>
    <w:rsid w:val="00DE1B63"/>
    <w:rsid w:val="00DE6507"/>
    <w:rsid w:val="00DF0AC7"/>
    <w:rsid w:val="00DF77BC"/>
    <w:rsid w:val="00E001DC"/>
    <w:rsid w:val="00E0152F"/>
    <w:rsid w:val="00E03381"/>
    <w:rsid w:val="00E16986"/>
    <w:rsid w:val="00E17914"/>
    <w:rsid w:val="00E23D7D"/>
    <w:rsid w:val="00E312C5"/>
    <w:rsid w:val="00E45211"/>
    <w:rsid w:val="00E468A8"/>
    <w:rsid w:val="00E47603"/>
    <w:rsid w:val="00E56445"/>
    <w:rsid w:val="00E5657E"/>
    <w:rsid w:val="00E722EF"/>
    <w:rsid w:val="00E75AA8"/>
    <w:rsid w:val="00E75D56"/>
    <w:rsid w:val="00E82082"/>
    <w:rsid w:val="00E85276"/>
    <w:rsid w:val="00E956F8"/>
    <w:rsid w:val="00EA2F13"/>
    <w:rsid w:val="00EB6B35"/>
    <w:rsid w:val="00EC003F"/>
    <w:rsid w:val="00EC10BE"/>
    <w:rsid w:val="00ED3176"/>
    <w:rsid w:val="00EE128D"/>
    <w:rsid w:val="00EE2B87"/>
    <w:rsid w:val="00EE49CD"/>
    <w:rsid w:val="00EF3574"/>
    <w:rsid w:val="00F0258E"/>
    <w:rsid w:val="00F0450A"/>
    <w:rsid w:val="00F07A5E"/>
    <w:rsid w:val="00F176A6"/>
    <w:rsid w:val="00F20DE9"/>
    <w:rsid w:val="00F30DFE"/>
    <w:rsid w:val="00F466EA"/>
    <w:rsid w:val="00F547F7"/>
    <w:rsid w:val="00F5489B"/>
    <w:rsid w:val="00F679A2"/>
    <w:rsid w:val="00F80276"/>
    <w:rsid w:val="00F81DD5"/>
    <w:rsid w:val="00F8563D"/>
    <w:rsid w:val="00F91415"/>
    <w:rsid w:val="00FA74BD"/>
    <w:rsid w:val="00FB01F7"/>
    <w:rsid w:val="00FB2B3E"/>
    <w:rsid w:val="00FB6A52"/>
    <w:rsid w:val="00FE0585"/>
    <w:rsid w:val="00FF4E14"/>
    <w:rsid w:val="00FF540B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4A46CFCA-9FA6-4ACA-82D6-CFB2A38F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728"/>
    <w:pPr>
      <w:spacing w:after="200" w:line="276" w:lineRule="auto"/>
      <w:jc w:val="center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85728"/>
    <w:pPr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val="ru-RU" w:eastAsia="ru-RU"/>
    </w:rPr>
  </w:style>
  <w:style w:type="paragraph" w:customStyle="1" w:styleId="Frspaiere1">
    <w:name w:val="Fără spațiere1"/>
    <w:rsid w:val="00785728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764198"/>
    <w:rPr>
      <w:rFonts w:cs="Times New Roman"/>
    </w:rPr>
  </w:style>
  <w:style w:type="paragraph" w:styleId="BodyTextIndent">
    <w:name w:val="Body Text Indent"/>
    <w:basedOn w:val="Normal"/>
    <w:rsid w:val="00DF77BC"/>
    <w:pPr>
      <w:autoSpaceDE w:val="0"/>
      <w:autoSpaceDN w:val="0"/>
      <w:spacing w:after="0" w:line="240" w:lineRule="auto"/>
      <w:ind w:firstLine="540"/>
      <w:jc w:val="both"/>
    </w:pPr>
    <w:rPr>
      <w:rFonts w:ascii="Times New Roman" w:hAnsi="Times New Roman" w:cs="Arial"/>
      <w:sz w:val="28"/>
      <w:szCs w:val="20"/>
      <w:lang w:eastAsia="ru-RU"/>
    </w:rPr>
  </w:style>
  <w:style w:type="paragraph" w:styleId="HTMLPreformatted">
    <w:name w:val="HTML Preformatted"/>
    <w:basedOn w:val="Normal"/>
    <w:rsid w:val="00172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">
    <w:name w:val="Îáû÷íûé"/>
    <w:rsid w:val="0014002D"/>
    <w:rPr>
      <w:rFonts w:ascii="Times New Roman" w:eastAsia="Times New Roman" w:hAnsi="Times New Roman"/>
      <w:sz w:val="28"/>
      <w:lang w:val="ru-RU" w:eastAsia="ru-RU"/>
    </w:rPr>
  </w:style>
  <w:style w:type="paragraph" w:styleId="BalloonText">
    <w:name w:val="Balloon Text"/>
    <w:basedOn w:val="Normal"/>
    <w:link w:val="BalloonTextChar"/>
    <w:rsid w:val="00C4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47A58"/>
    <w:rPr>
      <w:rFonts w:ascii="Segoe UI" w:eastAsia="Times New Roman" w:hAnsi="Segoe UI" w:cs="Segoe UI"/>
      <w:sz w:val="18"/>
      <w:szCs w:val="18"/>
      <w:lang w:val="ro-RO" w:eastAsia="en-US"/>
    </w:rPr>
  </w:style>
  <w:style w:type="paragraph" w:customStyle="1" w:styleId="tt">
    <w:name w:val="tt"/>
    <w:basedOn w:val="Normal"/>
    <w:rsid w:val="0011107D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o-RO"/>
    </w:rPr>
  </w:style>
  <w:style w:type="paragraph" w:customStyle="1" w:styleId="cn">
    <w:name w:val="cn"/>
    <w:basedOn w:val="Normal"/>
    <w:rsid w:val="008F7DD5"/>
    <w:pPr>
      <w:spacing w:after="0" w:line="240" w:lineRule="auto"/>
    </w:pPr>
    <w:rPr>
      <w:rFonts w:ascii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8F7DD5"/>
    <w:pPr>
      <w:spacing w:after="160" w:line="259" w:lineRule="auto"/>
      <w:ind w:left="720"/>
      <w:contextualSpacing/>
      <w:jc w:val="left"/>
    </w:pPr>
    <w:rPr>
      <w:rFonts w:eastAsia="Calibri"/>
    </w:rPr>
  </w:style>
  <w:style w:type="paragraph" w:styleId="BodyText">
    <w:name w:val="Body Text"/>
    <w:basedOn w:val="Normal"/>
    <w:link w:val="BodyTextChar"/>
    <w:rsid w:val="002721EF"/>
    <w:pPr>
      <w:spacing w:after="120"/>
    </w:pPr>
  </w:style>
  <w:style w:type="character" w:customStyle="1" w:styleId="BodyTextChar">
    <w:name w:val="Body Text Char"/>
    <w:link w:val="BodyText"/>
    <w:rsid w:val="002721EF"/>
    <w:rPr>
      <w:rFonts w:eastAsia="Times New Roman"/>
      <w:sz w:val="22"/>
      <w:szCs w:val="22"/>
      <w:lang w:val="ro-RO" w:eastAsia="en-US"/>
    </w:rPr>
  </w:style>
  <w:style w:type="paragraph" w:customStyle="1" w:styleId="cb">
    <w:name w:val="cb"/>
    <w:basedOn w:val="Normal"/>
    <w:rsid w:val="005F638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3C6A54"/>
    <w:pPr>
      <w:spacing w:after="0" w:line="240" w:lineRule="auto"/>
      <w:jc w:val="left"/>
    </w:pPr>
    <w:rPr>
      <w:rFonts w:eastAsia="Calibr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6A54"/>
    <w:rPr>
      <w:lang w:val="ru-RU" w:eastAsia="en-US"/>
    </w:rPr>
  </w:style>
  <w:style w:type="character" w:styleId="FootnoteReference">
    <w:name w:val="footnote reference"/>
    <w:basedOn w:val="DefaultParagraphFont"/>
    <w:uiPriority w:val="99"/>
    <w:unhideWhenUsed/>
    <w:rsid w:val="003C6A54"/>
    <w:rPr>
      <w:vertAlign w:val="superscript"/>
    </w:rPr>
  </w:style>
  <w:style w:type="table" w:styleId="TableGrid">
    <w:name w:val="Table Grid"/>
    <w:basedOn w:val="TableNormal"/>
    <w:locked/>
    <w:rsid w:val="00290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B9314-FC8C-42DD-934C-4B557347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NOTĂ INFORMATIVĂ</vt:lpstr>
      <vt:lpstr>NOTĂ INFORMATIVĂ</vt:lpstr>
    </vt:vector>
  </TitlesOfParts>
  <Company>Организация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NOTĂ INFORMATIVĂ</dc:title>
  <dc:subject/>
  <dc:creator>Vasile Grejdieru</dc:creator>
  <cp:keywords/>
  <cp:lastModifiedBy>Alexandru Chirtoca</cp:lastModifiedBy>
  <cp:revision>2</cp:revision>
  <cp:lastPrinted>2020-02-10T06:36:00Z</cp:lastPrinted>
  <dcterms:created xsi:type="dcterms:W3CDTF">2020-02-17T07:26:00Z</dcterms:created>
  <dcterms:modified xsi:type="dcterms:W3CDTF">2020-02-17T07:26:00Z</dcterms:modified>
</cp:coreProperties>
</file>