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CBD" w:rsidRPr="00E925F5" w:rsidRDefault="00D22FE7" w:rsidP="00D53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5F5">
        <w:rPr>
          <w:rFonts w:ascii="Times New Roman" w:hAnsi="Times New Roman" w:cs="Times New Roman"/>
          <w:b/>
          <w:sz w:val="28"/>
          <w:szCs w:val="28"/>
        </w:rPr>
        <w:t>Notă informativă</w:t>
      </w:r>
    </w:p>
    <w:p w:rsidR="00B36569" w:rsidRPr="00B36569" w:rsidRDefault="00F64C86" w:rsidP="00B36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5F5">
        <w:rPr>
          <w:rFonts w:ascii="Times New Roman" w:hAnsi="Times New Roman" w:cs="Times New Roman"/>
          <w:b/>
          <w:sz w:val="28"/>
          <w:szCs w:val="28"/>
        </w:rPr>
        <w:t xml:space="preserve">la </w:t>
      </w:r>
      <w:r w:rsidR="00EB39CE">
        <w:rPr>
          <w:rFonts w:ascii="Times New Roman" w:hAnsi="Times New Roman" w:cs="Times New Roman"/>
          <w:b/>
          <w:sz w:val="28"/>
          <w:szCs w:val="28"/>
        </w:rPr>
        <w:t xml:space="preserve">proiectul </w:t>
      </w:r>
      <w:r w:rsidR="00B36569" w:rsidRPr="00B36569">
        <w:rPr>
          <w:rFonts w:ascii="Times New Roman" w:hAnsi="Times New Roman" w:cs="Times New Roman"/>
          <w:b/>
          <w:sz w:val="28"/>
          <w:szCs w:val="28"/>
        </w:rPr>
        <w:t xml:space="preserve">Ghidului metodologic de întocmire a situațiilor financiare </w:t>
      </w:r>
    </w:p>
    <w:p w:rsidR="00F64C86" w:rsidRPr="00E925F5" w:rsidRDefault="00F64C86" w:rsidP="005F6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E10" w:rsidRPr="00E925F5" w:rsidRDefault="00A30E10" w:rsidP="005F6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F64C86" w:rsidRPr="00E925F5" w:rsidTr="00C57BB7">
        <w:tc>
          <w:tcPr>
            <w:tcW w:w="10349" w:type="dxa"/>
          </w:tcPr>
          <w:p w:rsidR="00F64C86" w:rsidRPr="00E925F5" w:rsidRDefault="000F3002" w:rsidP="000F30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>1. Denumirea autorului și, după caz, a participanților la elaborarea proiectului</w:t>
            </w:r>
          </w:p>
        </w:tc>
      </w:tr>
      <w:tr w:rsidR="00F64C86" w:rsidRPr="00E925F5" w:rsidTr="00C57BB7">
        <w:tc>
          <w:tcPr>
            <w:tcW w:w="10349" w:type="dxa"/>
          </w:tcPr>
          <w:p w:rsidR="00F64C86" w:rsidRPr="00E925F5" w:rsidRDefault="00465B38" w:rsidP="00EB3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5F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B3016" w:rsidRPr="00E925F5">
              <w:rPr>
                <w:rFonts w:ascii="Times New Roman" w:hAnsi="Times New Roman" w:cs="Times New Roman"/>
                <w:sz w:val="28"/>
                <w:szCs w:val="28"/>
              </w:rPr>
              <w:t>Ministerul Finanțelor</w:t>
            </w:r>
          </w:p>
        </w:tc>
      </w:tr>
      <w:tr w:rsidR="00F64C86" w:rsidRPr="00E925F5" w:rsidTr="00C57BB7">
        <w:tc>
          <w:tcPr>
            <w:tcW w:w="10349" w:type="dxa"/>
          </w:tcPr>
          <w:p w:rsidR="00F64C86" w:rsidRPr="00E925F5" w:rsidRDefault="005F5A04" w:rsidP="00EB30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EB3016"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Condițiile ce au impus elaborarea proiectului de act normativ și finalitățile urmărite </w:t>
            </w:r>
          </w:p>
        </w:tc>
      </w:tr>
      <w:tr w:rsidR="00F64C86" w:rsidRPr="00E925F5" w:rsidTr="00C57BB7">
        <w:tc>
          <w:tcPr>
            <w:tcW w:w="10349" w:type="dxa"/>
          </w:tcPr>
          <w:p w:rsidR="00A30E10" w:rsidRPr="00B36569" w:rsidRDefault="00522E3C" w:rsidP="00EC7D7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5F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    Necesitatea elaborării </w:t>
            </w:r>
            <w:r w:rsidRPr="00E5611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proiectului </w:t>
            </w:r>
            <w:r w:rsidR="00E56114" w:rsidRPr="00E56114">
              <w:rPr>
                <w:rFonts w:ascii="Times New Roman" w:hAnsi="Times New Roman" w:cs="Times New Roman"/>
                <w:sz w:val="28"/>
                <w:szCs w:val="28"/>
              </w:rPr>
              <w:t xml:space="preserve">Ghidul metodologic de întocmire a situațiilor financiare </w:t>
            </w:r>
            <w:r w:rsidR="00465B38" w:rsidRPr="00E925F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cons</w:t>
            </w:r>
            <w:r w:rsidR="006D38FB" w:rsidRPr="00E925F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t</w:t>
            </w:r>
            <w:r w:rsidR="00B36569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ă în</w:t>
            </w:r>
            <w:r w:rsidR="00EC7D70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necesitatea</w:t>
            </w:r>
            <w:r w:rsidR="00EC7D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prezentării</w:t>
            </w:r>
            <w:r w:rsidR="00B36569" w:rsidRPr="00B36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C7D70" w:rsidRPr="00B36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unui studiu de caz </w:t>
            </w:r>
            <w:r w:rsidR="00EC7D70">
              <w:rPr>
                <w:rFonts w:ascii="Times New Roman" w:hAnsi="Times New Roman" w:cs="Times New Roman"/>
                <w:bCs/>
                <w:sz w:val="28"/>
                <w:szCs w:val="28"/>
              </w:rPr>
              <w:t>convențional</w:t>
            </w:r>
            <w:r w:rsidR="00EC7D70" w:rsidRPr="00B36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C7D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privind </w:t>
            </w:r>
            <w:r w:rsidR="00B36569" w:rsidRPr="00B36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modul de întocmire a situațiilor financiare </w:t>
            </w:r>
            <w:bookmarkStart w:id="0" w:name="_GoBack"/>
            <w:bookmarkEnd w:id="0"/>
            <w:r w:rsidR="00B36569" w:rsidRPr="00B36569">
              <w:rPr>
                <w:rFonts w:ascii="Times New Roman" w:hAnsi="Times New Roman" w:cs="Times New Roman"/>
                <w:bCs/>
                <w:sz w:val="28"/>
                <w:szCs w:val="28"/>
              </w:rPr>
              <w:t>conform Legii contabilității și raportăr</w:t>
            </w:r>
            <w:r w:rsidR="00203C3E">
              <w:rPr>
                <w:rFonts w:ascii="Times New Roman" w:hAnsi="Times New Roman" w:cs="Times New Roman"/>
                <w:bCs/>
                <w:sz w:val="28"/>
                <w:szCs w:val="28"/>
              </w:rPr>
              <w:t>ii financiare nr.287/2017, Standardelor</w:t>
            </w:r>
            <w:r w:rsidR="00B36569" w:rsidRPr="00B36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Național</w:t>
            </w:r>
            <w:r w:rsidR="00203C3E">
              <w:rPr>
                <w:rFonts w:ascii="Times New Roman" w:hAnsi="Times New Roman" w:cs="Times New Roman"/>
                <w:bCs/>
                <w:sz w:val="28"/>
                <w:szCs w:val="28"/>
              </w:rPr>
              <w:t>e</w:t>
            </w:r>
            <w:r w:rsidR="00B36569" w:rsidRPr="00B36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de Contabilitate </w:t>
            </w:r>
            <w:r w:rsidR="00203C3E">
              <w:rPr>
                <w:rFonts w:ascii="Times New Roman" w:hAnsi="Times New Roman" w:cs="Times New Roman"/>
                <w:bCs/>
                <w:sz w:val="28"/>
                <w:szCs w:val="28"/>
              </w:rPr>
              <w:t>și altor reglementări contabile</w:t>
            </w:r>
            <w:r w:rsidR="00B36569" w:rsidRPr="00B3656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64C86" w:rsidRPr="00E925F5" w:rsidTr="00C57BB7">
        <w:tc>
          <w:tcPr>
            <w:tcW w:w="10349" w:type="dxa"/>
          </w:tcPr>
          <w:p w:rsidR="00F64C86" w:rsidRPr="00E925F5" w:rsidRDefault="00C97F7C" w:rsidP="005E6B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5E6BC3"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Principalele prevederi ale proiectului și evidențierea elementelor noi</w:t>
            </w:r>
          </w:p>
        </w:tc>
      </w:tr>
      <w:tr w:rsidR="00F64C86" w:rsidRPr="00E925F5" w:rsidTr="00C57BB7">
        <w:tc>
          <w:tcPr>
            <w:tcW w:w="10349" w:type="dxa"/>
          </w:tcPr>
          <w:p w:rsidR="00B36569" w:rsidRPr="00B36569" w:rsidRDefault="001531A1" w:rsidP="00B365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925F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   </w:t>
            </w:r>
            <w:r w:rsidR="00E5611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Proiectul</w:t>
            </w:r>
            <w:r w:rsidR="00607DA5" w:rsidRPr="00E925F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E56114" w:rsidRPr="00E56114">
              <w:rPr>
                <w:rFonts w:ascii="Times New Roman" w:hAnsi="Times New Roman" w:cs="Times New Roman"/>
                <w:sz w:val="28"/>
                <w:szCs w:val="28"/>
              </w:rPr>
              <w:t>Ghidul</w:t>
            </w:r>
            <w:r w:rsidR="00E56114">
              <w:rPr>
                <w:rFonts w:ascii="Times New Roman" w:hAnsi="Times New Roman" w:cs="Times New Roman"/>
                <w:sz w:val="28"/>
                <w:szCs w:val="28"/>
              </w:rPr>
              <w:t>ui</w:t>
            </w:r>
            <w:r w:rsidR="00E56114" w:rsidRPr="00E56114">
              <w:rPr>
                <w:rFonts w:ascii="Times New Roman" w:hAnsi="Times New Roman" w:cs="Times New Roman"/>
                <w:sz w:val="28"/>
                <w:szCs w:val="28"/>
              </w:rPr>
              <w:t xml:space="preserve"> metodologic de întocmire a situațiilor financiare </w:t>
            </w:r>
            <w:r w:rsidR="00607DA5" w:rsidRPr="00E925F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prevede</w:t>
            </w:r>
            <w:r w:rsidR="00F6448A" w:rsidRPr="00E925F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B36569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modul</w:t>
            </w:r>
            <w:r w:rsidR="00B36569" w:rsidRPr="00B36569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de întocmire a situațiilor financiare în baza unui studiu de caz convențional.</w:t>
            </w:r>
          </w:p>
          <w:p w:rsidR="009A4ADA" w:rsidRDefault="009A4ADA" w:rsidP="00A30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5F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Astfel, proiectul prevede</w:t>
            </w:r>
            <w:r w:rsidRPr="00E925F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03C3E" w:rsidRDefault="0069063C" w:rsidP="00C50AA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4">
              <w:rPr>
                <w:rFonts w:ascii="Times New Roman" w:hAnsi="Times New Roman" w:cs="Times New Roman"/>
                <w:sz w:val="28"/>
                <w:szCs w:val="28"/>
              </w:rPr>
              <w:t>Modul de întocmire 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Politicilor contabile;</w:t>
            </w:r>
          </w:p>
          <w:p w:rsidR="0069063C" w:rsidRDefault="0069063C" w:rsidP="00C50AA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4">
              <w:rPr>
                <w:rFonts w:ascii="Times New Roman" w:hAnsi="Times New Roman" w:cs="Times New Roman"/>
                <w:sz w:val="28"/>
                <w:szCs w:val="28"/>
              </w:rPr>
              <w:t xml:space="preserve">Modul de întocmire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operațiunilor economice a unei perioade de calculație (luna calendaristică);</w:t>
            </w:r>
          </w:p>
          <w:p w:rsidR="0069063C" w:rsidRDefault="0069063C" w:rsidP="00C50AA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4">
              <w:rPr>
                <w:rFonts w:ascii="Times New Roman" w:hAnsi="Times New Roman" w:cs="Times New Roman"/>
                <w:sz w:val="28"/>
                <w:szCs w:val="28"/>
              </w:rPr>
              <w:t xml:space="preserve">Modul de întocmire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Balanței de verificare a perioadei de gestiune (anul calendaristic);</w:t>
            </w:r>
          </w:p>
          <w:p w:rsidR="00C50AA4" w:rsidRDefault="00C50AA4" w:rsidP="00C50AA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4">
              <w:rPr>
                <w:rFonts w:ascii="Times New Roman" w:hAnsi="Times New Roman" w:cs="Times New Roman"/>
                <w:sz w:val="28"/>
                <w:szCs w:val="28"/>
              </w:rPr>
              <w:t xml:space="preserve">Modul de întocmire a </w:t>
            </w:r>
            <w:r w:rsidR="0069063C">
              <w:rPr>
                <w:rFonts w:ascii="Times New Roman" w:hAnsi="Times New Roman" w:cs="Times New Roman"/>
                <w:sz w:val="28"/>
                <w:szCs w:val="28"/>
              </w:rPr>
              <w:t>situațiilor financiare, care include:</w:t>
            </w:r>
          </w:p>
          <w:p w:rsidR="0069063C" w:rsidRDefault="003546B1" w:rsidP="003546B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bilanțul;</w:t>
            </w:r>
          </w:p>
          <w:p w:rsidR="003546B1" w:rsidRDefault="003546B1" w:rsidP="003546B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4">
              <w:rPr>
                <w:rFonts w:ascii="Times New Roman" w:hAnsi="Times New Roman" w:cs="Times New Roman"/>
                <w:sz w:val="28"/>
                <w:szCs w:val="28"/>
              </w:rPr>
              <w:t>situ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ația</w:t>
            </w:r>
            <w:r w:rsidRPr="00C50AA4">
              <w:rPr>
                <w:rFonts w:ascii="Times New Roman" w:hAnsi="Times New Roman" w:cs="Times New Roman"/>
                <w:sz w:val="28"/>
                <w:szCs w:val="28"/>
              </w:rPr>
              <w:t xml:space="preserve"> de profit și pierdere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46B1" w:rsidRDefault="003546B1" w:rsidP="003546B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situația</w:t>
            </w:r>
            <w:r w:rsidRPr="00C50AA4">
              <w:rPr>
                <w:rFonts w:ascii="Times New Roman" w:hAnsi="Times New Roman" w:cs="Times New Roman"/>
                <w:sz w:val="28"/>
                <w:szCs w:val="28"/>
              </w:rPr>
              <w:t xml:space="preserve"> modificărilor capitalului propriu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46B1" w:rsidRDefault="003546B1" w:rsidP="003546B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situația</w:t>
            </w:r>
            <w:r w:rsidRPr="00C50AA4">
              <w:rPr>
                <w:rFonts w:ascii="Times New Roman" w:hAnsi="Times New Roman" w:cs="Times New Roman"/>
                <w:sz w:val="28"/>
                <w:szCs w:val="28"/>
              </w:rPr>
              <w:t xml:space="preserve"> fluxurilor de numerar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46B1" w:rsidRPr="003546B1" w:rsidRDefault="003546B1" w:rsidP="003546B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B1">
              <w:rPr>
                <w:rFonts w:ascii="Times New Roman" w:hAnsi="Times New Roman" w:cs="Times New Roman"/>
                <w:sz w:val="28"/>
                <w:szCs w:val="28"/>
              </w:rPr>
              <w:t>nota explicativă.</w:t>
            </w:r>
          </w:p>
          <w:p w:rsidR="00D3156E" w:rsidRPr="003546B1" w:rsidRDefault="003546B1" w:rsidP="00354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B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  Politicile contabile</w:t>
            </w:r>
            <w:r w:rsidR="004E4B6F" w:rsidRPr="003546B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operațiunile economice</w:t>
            </w:r>
            <w:r w:rsidR="004E4B6F" w:rsidRPr="003546B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și notele la situațiile financiare prevăzute în ghid au un caracter de recomandare și pot fi modificate în funcție de specificul activității și necesitățile informaționale proprii ale entității.</w:t>
            </w:r>
          </w:p>
        </w:tc>
      </w:tr>
      <w:tr w:rsidR="00F64C86" w:rsidRPr="00E925F5" w:rsidTr="00C57BB7">
        <w:tc>
          <w:tcPr>
            <w:tcW w:w="10349" w:type="dxa"/>
          </w:tcPr>
          <w:p w:rsidR="00F64C86" w:rsidRPr="00E925F5" w:rsidRDefault="002A199F" w:rsidP="002A19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>4.Fundamentarea economico</w:t>
            </w:r>
            <w:r w:rsidR="007D28EF"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D28EF"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>financiară</w:t>
            </w:r>
          </w:p>
        </w:tc>
      </w:tr>
      <w:tr w:rsidR="00F64C86" w:rsidRPr="00E925F5" w:rsidTr="00C57BB7">
        <w:tc>
          <w:tcPr>
            <w:tcW w:w="10349" w:type="dxa"/>
          </w:tcPr>
          <w:p w:rsidR="00216FC8" w:rsidRPr="00E925F5" w:rsidRDefault="00F93612" w:rsidP="004D7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5F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Implementarea prezentului proiect </w:t>
            </w:r>
            <w:r w:rsidR="0043684F" w:rsidRPr="00E925F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nu necesită</w:t>
            </w:r>
            <w:r w:rsidRPr="00E925F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cheltuieli financiare de la bugetul de stat</w:t>
            </w:r>
            <w:r w:rsidR="002B1DFB" w:rsidRPr="00E925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7A83" w:rsidRPr="00E925F5" w:rsidTr="00C57BB7">
        <w:tc>
          <w:tcPr>
            <w:tcW w:w="10349" w:type="dxa"/>
          </w:tcPr>
          <w:p w:rsidR="00757A83" w:rsidRPr="00E925F5" w:rsidRDefault="00757A83" w:rsidP="00C548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E925F5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5. Modul de încorporare a actului în cadrul normativ în vigoare</w:t>
            </w:r>
          </w:p>
        </w:tc>
      </w:tr>
      <w:tr w:rsidR="00757A83" w:rsidRPr="00E925F5" w:rsidTr="00C57BB7">
        <w:tc>
          <w:tcPr>
            <w:tcW w:w="10349" w:type="dxa"/>
          </w:tcPr>
          <w:p w:rsidR="00757A83" w:rsidRPr="00E925F5" w:rsidRDefault="006A3A9B" w:rsidP="00C54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925F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Urmare aprobării proiectului, nu va apărea necesitatea modificării sau abrogării unor acte normative.</w:t>
            </w:r>
          </w:p>
        </w:tc>
      </w:tr>
    </w:tbl>
    <w:p w:rsidR="005F4DC0" w:rsidRPr="00E925F5" w:rsidRDefault="005F4DC0" w:rsidP="007B49CD">
      <w:pPr>
        <w:spacing w:after="0" w:line="240" w:lineRule="auto"/>
        <w:jc w:val="both"/>
        <w:rPr>
          <w:b/>
          <w:sz w:val="28"/>
          <w:szCs w:val="28"/>
        </w:rPr>
      </w:pPr>
    </w:p>
    <w:p w:rsidR="00F42AEE" w:rsidRPr="00E925F5" w:rsidRDefault="002B43C1" w:rsidP="007B49CD">
      <w:pPr>
        <w:spacing w:after="0" w:line="240" w:lineRule="auto"/>
        <w:jc w:val="both"/>
        <w:rPr>
          <w:b/>
          <w:sz w:val="28"/>
          <w:szCs w:val="28"/>
        </w:rPr>
      </w:pPr>
      <w:r w:rsidRPr="00E925F5">
        <w:rPr>
          <w:b/>
          <w:sz w:val="28"/>
          <w:szCs w:val="28"/>
        </w:rPr>
        <w:t xml:space="preserve">   </w:t>
      </w:r>
      <w:r w:rsidR="007B49CD" w:rsidRPr="00E925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3C66" w:rsidRDefault="00AD714F" w:rsidP="00ED4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5F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42AEE" w:rsidRPr="00E925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3C66" w:rsidRDefault="00D83C66" w:rsidP="00ED4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C66" w:rsidRDefault="00D83C66" w:rsidP="00ED4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747" w:rsidRPr="00E925F5" w:rsidRDefault="006502CB" w:rsidP="003546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5F5">
        <w:rPr>
          <w:rFonts w:ascii="Times New Roman" w:hAnsi="Times New Roman" w:cs="Times New Roman"/>
          <w:b/>
          <w:sz w:val="28"/>
          <w:szCs w:val="28"/>
        </w:rPr>
        <w:t xml:space="preserve">Șef  </w:t>
      </w:r>
      <w:r w:rsidR="00ED4747" w:rsidRPr="00E925F5">
        <w:rPr>
          <w:rFonts w:ascii="Times New Roman" w:hAnsi="Times New Roman" w:cs="Times New Roman"/>
          <w:b/>
          <w:sz w:val="28"/>
          <w:szCs w:val="28"/>
        </w:rPr>
        <w:t xml:space="preserve">al Direcției </w:t>
      </w:r>
      <w:r w:rsidR="003546B1">
        <w:rPr>
          <w:rFonts w:ascii="Times New Roman" w:hAnsi="Times New Roman" w:cs="Times New Roman"/>
          <w:b/>
          <w:sz w:val="28"/>
          <w:szCs w:val="28"/>
        </w:rPr>
        <w:t>politici financiare</w:t>
      </w:r>
      <w:r w:rsidR="00A30E10" w:rsidRPr="00E925F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D4747" w:rsidRPr="00E925F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3546B1">
        <w:rPr>
          <w:rFonts w:ascii="Times New Roman" w:hAnsi="Times New Roman" w:cs="Times New Roman"/>
          <w:b/>
          <w:sz w:val="28"/>
          <w:szCs w:val="28"/>
        </w:rPr>
        <w:t>Ana LITOCENCO</w:t>
      </w:r>
    </w:p>
    <w:sectPr w:rsidR="00ED4747" w:rsidRPr="00E925F5" w:rsidSect="00C50AA4">
      <w:pgSz w:w="11906" w:h="16838"/>
      <w:pgMar w:top="851" w:right="567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C05E0"/>
    <w:multiLevelType w:val="hybridMultilevel"/>
    <w:tmpl w:val="D3ECA9E8"/>
    <w:lvl w:ilvl="0" w:tplc="C7E29D94">
      <w:start w:val="3"/>
      <w:numFmt w:val="bullet"/>
      <w:lvlText w:val="-"/>
      <w:lvlJc w:val="left"/>
      <w:pPr>
        <w:ind w:left="6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56F255A7"/>
    <w:multiLevelType w:val="hybridMultilevel"/>
    <w:tmpl w:val="4B321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65A72"/>
    <w:multiLevelType w:val="hybridMultilevel"/>
    <w:tmpl w:val="1BA4E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245A1"/>
    <w:multiLevelType w:val="hybridMultilevel"/>
    <w:tmpl w:val="A3C6512E"/>
    <w:lvl w:ilvl="0" w:tplc="7AA6D5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A7117"/>
    <w:multiLevelType w:val="hybridMultilevel"/>
    <w:tmpl w:val="BD0C1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F47D4"/>
    <w:multiLevelType w:val="hybridMultilevel"/>
    <w:tmpl w:val="A15E227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9B33E4"/>
    <w:multiLevelType w:val="hybridMultilevel"/>
    <w:tmpl w:val="F912C96A"/>
    <w:lvl w:ilvl="0" w:tplc="7AA6D5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43E78"/>
    <w:multiLevelType w:val="hybridMultilevel"/>
    <w:tmpl w:val="AAFE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BD"/>
    <w:rsid w:val="000B52CC"/>
    <w:rsid w:val="000C729D"/>
    <w:rsid w:val="000F3002"/>
    <w:rsid w:val="00112273"/>
    <w:rsid w:val="001477D2"/>
    <w:rsid w:val="001531A1"/>
    <w:rsid w:val="0016443F"/>
    <w:rsid w:val="001659D6"/>
    <w:rsid w:val="00180BFF"/>
    <w:rsid w:val="0018246B"/>
    <w:rsid w:val="001851EA"/>
    <w:rsid w:val="001A304F"/>
    <w:rsid w:val="001B6D9B"/>
    <w:rsid w:val="001E1950"/>
    <w:rsid w:val="001E733C"/>
    <w:rsid w:val="001E7590"/>
    <w:rsid w:val="001F21F8"/>
    <w:rsid w:val="001F5080"/>
    <w:rsid w:val="00203C3E"/>
    <w:rsid w:val="00216FC8"/>
    <w:rsid w:val="00256135"/>
    <w:rsid w:val="00277A43"/>
    <w:rsid w:val="00294191"/>
    <w:rsid w:val="00294FC7"/>
    <w:rsid w:val="002A199F"/>
    <w:rsid w:val="002B1DFB"/>
    <w:rsid w:val="002B43C1"/>
    <w:rsid w:val="002C582F"/>
    <w:rsid w:val="002E346F"/>
    <w:rsid w:val="0031166D"/>
    <w:rsid w:val="00342D20"/>
    <w:rsid w:val="003546B1"/>
    <w:rsid w:val="0039382D"/>
    <w:rsid w:val="003B3CC2"/>
    <w:rsid w:val="003C2CE6"/>
    <w:rsid w:val="003F772A"/>
    <w:rsid w:val="00400FDC"/>
    <w:rsid w:val="00415638"/>
    <w:rsid w:val="00422703"/>
    <w:rsid w:val="00423AF6"/>
    <w:rsid w:val="0043684F"/>
    <w:rsid w:val="0044577D"/>
    <w:rsid w:val="00465B38"/>
    <w:rsid w:val="004B0BE5"/>
    <w:rsid w:val="004B3D60"/>
    <w:rsid w:val="004D7E4B"/>
    <w:rsid w:val="004E0FF1"/>
    <w:rsid w:val="004E4B6F"/>
    <w:rsid w:val="004E52A1"/>
    <w:rsid w:val="004F2321"/>
    <w:rsid w:val="00507CBD"/>
    <w:rsid w:val="0051146B"/>
    <w:rsid w:val="0051580B"/>
    <w:rsid w:val="00522E3C"/>
    <w:rsid w:val="00526D11"/>
    <w:rsid w:val="00533EF7"/>
    <w:rsid w:val="00555F1D"/>
    <w:rsid w:val="00563BBC"/>
    <w:rsid w:val="005D692D"/>
    <w:rsid w:val="005E6BC3"/>
    <w:rsid w:val="005F4DC0"/>
    <w:rsid w:val="005F5A04"/>
    <w:rsid w:val="005F64CB"/>
    <w:rsid w:val="005F79C9"/>
    <w:rsid w:val="00607DA5"/>
    <w:rsid w:val="0061089E"/>
    <w:rsid w:val="00613F32"/>
    <w:rsid w:val="006502CB"/>
    <w:rsid w:val="00655222"/>
    <w:rsid w:val="0069063C"/>
    <w:rsid w:val="00696FC0"/>
    <w:rsid w:val="006A3A9B"/>
    <w:rsid w:val="006A74C3"/>
    <w:rsid w:val="006C39BF"/>
    <w:rsid w:val="006D38FB"/>
    <w:rsid w:val="006D5142"/>
    <w:rsid w:val="006F5AB3"/>
    <w:rsid w:val="00725B5D"/>
    <w:rsid w:val="00732BCB"/>
    <w:rsid w:val="007428B1"/>
    <w:rsid w:val="00754203"/>
    <w:rsid w:val="00757A83"/>
    <w:rsid w:val="00771D7A"/>
    <w:rsid w:val="00780288"/>
    <w:rsid w:val="00781557"/>
    <w:rsid w:val="00796D06"/>
    <w:rsid w:val="007A7FB3"/>
    <w:rsid w:val="007B49CD"/>
    <w:rsid w:val="007B7712"/>
    <w:rsid w:val="007D28EF"/>
    <w:rsid w:val="00802DCF"/>
    <w:rsid w:val="008379FC"/>
    <w:rsid w:val="00875684"/>
    <w:rsid w:val="00876402"/>
    <w:rsid w:val="008A79BE"/>
    <w:rsid w:val="008C3068"/>
    <w:rsid w:val="008C6DF0"/>
    <w:rsid w:val="008E1D81"/>
    <w:rsid w:val="00904E7A"/>
    <w:rsid w:val="009517A4"/>
    <w:rsid w:val="00960D22"/>
    <w:rsid w:val="00966333"/>
    <w:rsid w:val="0099278E"/>
    <w:rsid w:val="00996BF4"/>
    <w:rsid w:val="009A4ADA"/>
    <w:rsid w:val="009C7947"/>
    <w:rsid w:val="00A30E10"/>
    <w:rsid w:val="00A368C9"/>
    <w:rsid w:val="00A445BC"/>
    <w:rsid w:val="00A44BCD"/>
    <w:rsid w:val="00A44CC5"/>
    <w:rsid w:val="00AC084A"/>
    <w:rsid w:val="00AD714F"/>
    <w:rsid w:val="00B36569"/>
    <w:rsid w:val="00B44F03"/>
    <w:rsid w:val="00B56790"/>
    <w:rsid w:val="00B578A1"/>
    <w:rsid w:val="00B96038"/>
    <w:rsid w:val="00B962EE"/>
    <w:rsid w:val="00BB5B40"/>
    <w:rsid w:val="00BD34E7"/>
    <w:rsid w:val="00C50AA4"/>
    <w:rsid w:val="00C517C4"/>
    <w:rsid w:val="00C548CB"/>
    <w:rsid w:val="00C57BB7"/>
    <w:rsid w:val="00C67946"/>
    <w:rsid w:val="00C97F7C"/>
    <w:rsid w:val="00CD2C06"/>
    <w:rsid w:val="00CE2B05"/>
    <w:rsid w:val="00CE732A"/>
    <w:rsid w:val="00D112B8"/>
    <w:rsid w:val="00D22FE7"/>
    <w:rsid w:val="00D3156E"/>
    <w:rsid w:val="00D35090"/>
    <w:rsid w:val="00D45762"/>
    <w:rsid w:val="00D53635"/>
    <w:rsid w:val="00D61335"/>
    <w:rsid w:val="00D71EC1"/>
    <w:rsid w:val="00D83C66"/>
    <w:rsid w:val="00D8520B"/>
    <w:rsid w:val="00DA2A52"/>
    <w:rsid w:val="00DD1878"/>
    <w:rsid w:val="00DF7E83"/>
    <w:rsid w:val="00E56114"/>
    <w:rsid w:val="00E56648"/>
    <w:rsid w:val="00E66210"/>
    <w:rsid w:val="00E871CF"/>
    <w:rsid w:val="00E925F5"/>
    <w:rsid w:val="00EB3016"/>
    <w:rsid w:val="00EB39CE"/>
    <w:rsid w:val="00EC7D70"/>
    <w:rsid w:val="00ED4747"/>
    <w:rsid w:val="00ED7632"/>
    <w:rsid w:val="00EE2CD6"/>
    <w:rsid w:val="00F27F39"/>
    <w:rsid w:val="00F42092"/>
    <w:rsid w:val="00F42AEE"/>
    <w:rsid w:val="00F62522"/>
    <w:rsid w:val="00F6448A"/>
    <w:rsid w:val="00F64C86"/>
    <w:rsid w:val="00F74819"/>
    <w:rsid w:val="00F75E6A"/>
    <w:rsid w:val="00F93612"/>
    <w:rsid w:val="00FC0EF7"/>
    <w:rsid w:val="00FC1829"/>
    <w:rsid w:val="00FC5D5F"/>
    <w:rsid w:val="00FD0E42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60B53-D344-4CC8-8D0E-B7DC6E76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3002"/>
    <w:pPr>
      <w:ind w:left="720"/>
      <w:contextualSpacing/>
    </w:pPr>
  </w:style>
  <w:style w:type="paragraph" w:styleId="NoSpacing">
    <w:name w:val="No Spacing"/>
    <w:uiPriority w:val="1"/>
    <w:qFormat/>
    <w:rsid w:val="00533EF7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D5363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cemertansi</dc:creator>
  <cp:lastModifiedBy>ASUS</cp:lastModifiedBy>
  <cp:revision>20</cp:revision>
  <cp:lastPrinted>2020-06-02T09:26:00Z</cp:lastPrinted>
  <dcterms:created xsi:type="dcterms:W3CDTF">2020-02-10T14:04:00Z</dcterms:created>
  <dcterms:modified xsi:type="dcterms:W3CDTF">2020-10-22T08:50:00Z</dcterms:modified>
</cp:coreProperties>
</file>