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A" w:rsidRPr="00FA2B14" w:rsidRDefault="000410EA" w:rsidP="000410EA">
      <w:pPr>
        <w:jc w:val="center"/>
        <w:rPr>
          <w:rFonts w:eastAsia="Batang"/>
          <w:b/>
          <w:bCs/>
          <w:sz w:val="28"/>
          <w:szCs w:val="28"/>
          <w:lang w:eastAsia="ru-RU"/>
        </w:rPr>
      </w:pPr>
      <w:r w:rsidRPr="00FA2B14">
        <w:rPr>
          <w:rFonts w:eastAsia="Batang"/>
          <w:b/>
          <w:bCs/>
          <w:sz w:val="28"/>
          <w:szCs w:val="28"/>
          <w:lang w:eastAsia="ru-RU"/>
        </w:rPr>
        <w:t xml:space="preserve">Nota </w:t>
      </w:r>
      <w:proofErr w:type="spellStart"/>
      <w:r w:rsidRPr="00FA2B14">
        <w:rPr>
          <w:rFonts w:eastAsia="Batang"/>
          <w:b/>
          <w:bCs/>
          <w:sz w:val="28"/>
          <w:szCs w:val="28"/>
          <w:lang w:eastAsia="ru-RU"/>
        </w:rPr>
        <w:t>informativă</w:t>
      </w:r>
      <w:proofErr w:type="spellEnd"/>
    </w:p>
    <w:p w:rsidR="000410EA" w:rsidRPr="00FA2B14" w:rsidRDefault="000410EA" w:rsidP="000410EA">
      <w:pPr>
        <w:ind w:firstLine="0"/>
        <w:jc w:val="center"/>
        <w:rPr>
          <w:rFonts w:eastAsia="Batang"/>
          <w:bCs/>
          <w:sz w:val="28"/>
          <w:szCs w:val="28"/>
          <w:lang w:eastAsia="ru-RU"/>
        </w:rPr>
      </w:pPr>
      <w:proofErr w:type="gramStart"/>
      <w:r w:rsidRPr="00FA2B14">
        <w:rPr>
          <w:rFonts w:eastAsia="Batang"/>
          <w:bCs/>
          <w:sz w:val="28"/>
          <w:szCs w:val="28"/>
          <w:lang w:eastAsia="ru-RU"/>
        </w:rPr>
        <w:t>la</w:t>
      </w:r>
      <w:proofErr w:type="gram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proiectul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hotărîrii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Guvernului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</w:p>
    <w:p w:rsidR="000410EA" w:rsidRPr="00FA2B14" w:rsidRDefault="000410EA" w:rsidP="000410EA">
      <w:pPr>
        <w:ind w:firstLine="0"/>
        <w:jc w:val="center"/>
        <w:rPr>
          <w:rFonts w:eastAsia="Batang"/>
          <w:bCs/>
          <w:sz w:val="28"/>
          <w:szCs w:val="28"/>
          <w:lang w:eastAsia="ru-RU"/>
        </w:rPr>
      </w:pPr>
      <w:r w:rsidRPr="00FA2B14">
        <w:rPr>
          <w:rFonts w:eastAsia="Batang"/>
          <w:bCs/>
          <w:sz w:val="28"/>
          <w:szCs w:val="28"/>
          <w:lang w:eastAsia="ru-RU"/>
        </w:rPr>
        <w:t xml:space="preserve">„Pentru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aprobarea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Regulamentului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privind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modul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r w:rsidRPr="00FA2B14">
        <w:rPr>
          <w:rFonts w:eastAsia="Batang"/>
          <w:bCs/>
          <w:sz w:val="28"/>
          <w:szCs w:val="28"/>
          <w:lang w:eastAsia="ru-RU"/>
        </w:rPr>
        <w:br/>
        <w:t xml:space="preserve">de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acordare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din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bugetul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de stat a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compensațiilor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Batang"/>
          <w:bCs/>
          <w:sz w:val="28"/>
          <w:szCs w:val="28"/>
          <w:lang w:eastAsia="ru-RU"/>
        </w:rPr>
        <w:t>salariaților</w:t>
      </w:r>
      <w:proofErr w:type="spellEnd"/>
      <w:r w:rsidR="000A6E0D">
        <w:rPr>
          <w:rFonts w:eastAsia="Batang"/>
          <w:bCs/>
          <w:sz w:val="28"/>
          <w:szCs w:val="28"/>
          <w:lang w:eastAsia="ru-RU"/>
        </w:rPr>
        <w:t xml:space="preserve"> din </w:t>
      </w:r>
      <w:proofErr w:type="spellStart"/>
      <w:r w:rsidR="000A6E0D">
        <w:rPr>
          <w:rFonts w:eastAsia="Batang"/>
          <w:bCs/>
          <w:sz w:val="28"/>
          <w:szCs w:val="28"/>
          <w:lang w:eastAsia="ru-RU"/>
        </w:rPr>
        <w:t>sectorul</w:t>
      </w:r>
      <w:proofErr w:type="spellEnd"/>
      <w:r w:rsidR="000A6E0D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="000A6E0D">
        <w:rPr>
          <w:rFonts w:eastAsia="Batang"/>
          <w:bCs/>
          <w:sz w:val="28"/>
          <w:szCs w:val="28"/>
          <w:lang w:eastAsia="ru-RU"/>
        </w:rPr>
        <w:t>privat</w:t>
      </w:r>
      <w:proofErr w:type="spellEnd"/>
      <w:r w:rsidR="000A6E0D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="000A6E0D">
        <w:rPr>
          <w:rFonts w:eastAsia="Batang"/>
          <w:bCs/>
          <w:sz w:val="28"/>
          <w:szCs w:val="28"/>
          <w:lang w:eastAsia="ru-RU"/>
        </w:rPr>
        <w:t>participanți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la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Programul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 xml:space="preserve"> de stat „Prima </w:t>
      </w:r>
      <w:proofErr w:type="spellStart"/>
      <w:r w:rsidRPr="00FA2B14">
        <w:rPr>
          <w:rFonts w:eastAsia="Batang"/>
          <w:bCs/>
          <w:sz w:val="28"/>
          <w:szCs w:val="28"/>
          <w:lang w:eastAsia="ru-RU"/>
        </w:rPr>
        <w:t>casă</w:t>
      </w:r>
      <w:proofErr w:type="spellEnd"/>
      <w:r w:rsidRPr="00FA2B14">
        <w:rPr>
          <w:rFonts w:eastAsia="Batang"/>
          <w:bCs/>
          <w:sz w:val="28"/>
          <w:szCs w:val="28"/>
          <w:lang w:eastAsia="ru-RU"/>
        </w:rPr>
        <w:t>””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86"/>
      </w:tblGrid>
      <w:tr w:rsidR="000410EA" w:rsidRPr="00C77535" w:rsidTr="00397697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0410EA" w:rsidRDefault="000410EA" w:rsidP="000410EA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0" w:firstLine="8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Denumirea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autorului</w:t>
            </w:r>
            <w:proofErr w:type="spellEnd"/>
            <w:r>
              <w:rPr>
                <w:b/>
                <w:sz w:val="28"/>
                <w:szCs w:val="28"/>
              </w:rPr>
              <w:t xml:space="preserve"> și, </w:t>
            </w:r>
            <w:proofErr w:type="spellStart"/>
            <w:r>
              <w:rPr>
                <w:b/>
                <w:sz w:val="28"/>
                <w:szCs w:val="28"/>
              </w:rPr>
              <w:t>după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caz</w:t>
            </w:r>
            <w:proofErr w:type="spellEnd"/>
            <w:r>
              <w:rPr>
                <w:b/>
                <w:sz w:val="28"/>
                <w:szCs w:val="28"/>
              </w:rPr>
              <w:t xml:space="preserve">, a </w:t>
            </w:r>
            <w:proofErr w:type="spellStart"/>
            <w:r>
              <w:rPr>
                <w:b/>
                <w:sz w:val="28"/>
                <w:szCs w:val="28"/>
              </w:rPr>
              <w:t>participanților</w:t>
            </w:r>
            <w:proofErr w:type="spellEnd"/>
            <w:r>
              <w:rPr>
                <w:b/>
                <w:sz w:val="28"/>
                <w:szCs w:val="28"/>
              </w:rPr>
              <w:t xml:space="preserve"> la </w:t>
            </w:r>
            <w:proofErr w:type="spellStart"/>
            <w:r>
              <w:rPr>
                <w:b/>
                <w:sz w:val="28"/>
                <w:szCs w:val="28"/>
              </w:rPr>
              <w:t>elaborarea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0410EA" w:rsidRPr="00C77535" w:rsidTr="00397697">
        <w:tc>
          <w:tcPr>
            <w:tcW w:w="5000" w:type="pct"/>
            <w:hideMark/>
          </w:tcPr>
          <w:p w:rsidR="000410EA" w:rsidRDefault="000410EA" w:rsidP="00397697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Proiectul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hotărîrii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Guvern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„</w:t>
            </w:r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 Pentru </w:t>
            </w:r>
            <w:proofErr w:type="spellStart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>aprobare</w:t>
            </w:r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a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Regulamentului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privind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modul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de </w:t>
            </w:r>
            <w:proofErr w:type="spellStart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>acordare</w:t>
            </w:r>
            <w:proofErr w:type="spellEnd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din </w:t>
            </w:r>
            <w:proofErr w:type="spellStart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>bugetul</w:t>
            </w:r>
            <w:proofErr w:type="spellEnd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a </w:t>
            </w:r>
            <w:proofErr w:type="spellStart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>compensațiilor</w:t>
            </w:r>
            <w:proofErr w:type="spellEnd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salariaților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din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sectorul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privat</w:t>
            </w:r>
            <w:proofErr w:type="spellEnd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6E0D">
              <w:rPr>
                <w:rFonts w:eastAsia="Batang"/>
                <w:bCs/>
                <w:sz w:val="28"/>
                <w:szCs w:val="28"/>
                <w:lang w:eastAsia="ru-RU"/>
              </w:rPr>
              <w:t>participanți</w:t>
            </w:r>
            <w:proofErr w:type="spellEnd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 la </w:t>
            </w:r>
            <w:proofErr w:type="spellStart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>Programul</w:t>
            </w:r>
            <w:proofErr w:type="spellEnd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„Prima </w:t>
            </w:r>
            <w:proofErr w:type="spellStart"/>
            <w:r w:rsidR="000A6E0D" w:rsidRPr="00FA2B14">
              <w:rPr>
                <w:rFonts w:eastAsia="Batang"/>
                <w:bCs/>
                <w:sz w:val="28"/>
                <w:szCs w:val="28"/>
                <w:lang w:eastAsia="ru-RU"/>
              </w:rPr>
              <w:t>casă</w:t>
            </w:r>
            <w:proofErr w:type="spellEnd"/>
            <w:r w:rsidRPr="004E4E50">
              <w:rPr>
                <w:rFonts w:eastAsia="Batang"/>
                <w:bCs/>
                <w:sz w:val="28"/>
                <w:szCs w:val="28"/>
                <w:lang w:eastAsia="ru-RU"/>
              </w:rPr>
              <w:t>”</w:t>
            </w:r>
            <w:r w:rsidRPr="004E4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fost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elaborat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Ministerul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Finanțelor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410EA" w:rsidRPr="00C77535" w:rsidTr="00397697">
        <w:tc>
          <w:tcPr>
            <w:tcW w:w="5000" w:type="pct"/>
            <w:shd w:val="clear" w:color="auto" w:fill="D9D9D9"/>
            <w:hideMark/>
          </w:tcPr>
          <w:p w:rsidR="000410EA" w:rsidRDefault="000410EA" w:rsidP="000410EA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firstLine="8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Condițiile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ce</w:t>
            </w:r>
            <w:proofErr w:type="spellEnd"/>
            <w:r>
              <w:rPr>
                <w:b/>
                <w:sz w:val="28"/>
                <w:szCs w:val="28"/>
              </w:rPr>
              <w:t xml:space="preserve"> au </w:t>
            </w:r>
            <w:proofErr w:type="spellStart"/>
            <w:r>
              <w:rPr>
                <w:b/>
                <w:sz w:val="28"/>
                <w:szCs w:val="28"/>
              </w:rPr>
              <w:t>impus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elaborarea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  <w:r>
              <w:rPr>
                <w:b/>
                <w:sz w:val="28"/>
                <w:szCs w:val="28"/>
              </w:rPr>
              <w:t xml:space="preserve"> de act </w:t>
            </w:r>
            <w:proofErr w:type="spellStart"/>
            <w:r>
              <w:rPr>
                <w:b/>
                <w:sz w:val="28"/>
                <w:szCs w:val="28"/>
              </w:rPr>
              <w:t>normativ</w:t>
            </w:r>
            <w:proofErr w:type="spellEnd"/>
            <w:r>
              <w:rPr>
                <w:b/>
                <w:sz w:val="28"/>
                <w:szCs w:val="28"/>
              </w:rPr>
              <w:t xml:space="preserve"> și </w:t>
            </w:r>
            <w:proofErr w:type="spellStart"/>
            <w:r>
              <w:rPr>
                <w:b/>
                <w:sz w:val="28"/>
                <w:szCs w:val="28"/>
              </w:rPr>
              <w:t>finalitățile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urmărite</w:t>
            </w:r>
            <w:proofErr w:type="spellEnd"/>
          </w:p>
        </w:tc>
      </w:tr>
      <w:tr w:rsidR="000410EA" w:rsidRPr="00C77535" w:rsidTr="00397697">
        <w:tc>
          <w:tcPr>
            <w:tcW w:w="5000" w:type="pct"/>
            <w:hideMark/>
          </w:tcPr>
          <w:p w:rsidR="000410EA" w:rsidRDefault="000410EA" w:rsidP="00397697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B4F5E">
              <w:rPr>
                <w:sz w:val="28"/>
                <w:szCs w:val="28"/>
              </w:rPr>
              <w:t>Prin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aprobarea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Legii</w:t>
            </w:r>
            <w:proofErr w:type="spellEnd"/>
            <w:r w:rsidRPr="009B4F5E">
              <w:rPr>
                <w:sz w:val="28"/>
                <w:szCs w:val="28"/>
              </w:rPr>
              <w:t xml:space="preserve"> nr.293 din 21 </w:t>
            </w:r>
            <w:proofErr w:type="spellStart"/>
            <w:r w:rsidRPr="009B4F5E">
              <w:rPr>
                <w:sz w:val="28"/>
                <w:szCs w:val="28"/>
              </w:rPr>
              <w:t>decembrie</w:t>
            </w:r>
            <w:proofErr w:type="spellEnd"/>
            <w:r w:rsidRPr="009B4F5E">
              <w:rPr>
                <w:sz w:val="28"/>
                <w:szCs w:val="28"/>
              </w:rPr>
              <w:t xml:space="preserve"> 2017 a </w:t>
            </w:r>
            <w:proofErr w:type="spellStart"/>
            <w:r w:rsidRPr="009B4F5E">
              <w:rPr>
                <w:sz w:val="28"/>
                <w:szCs w:val="28"/>
              </w:rPr>
              <w:t>fost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lansat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Programul</w:t>
            </w:r>
            <w:proofErr w:type="spellEnd"/>
            <w:r w:rsidRPr="009B4F5E">
              <w:rPr>
                <w:sz w:val="28"/>
                <w:szCs w:val="28"/>
              </w:rPr>
              <w:t xml:space="preserve"> de stat ”Prima </w:t>
            </w:r>
            <w:proofErr w:type="spellStart"/>
            <w:r w:rsidRPr="009B4F5E">
              <w:rPr>
                <w:sz w:val="28"/>
                <w:szCs w:val="28"/>
              </w:rPr>
              <w:t>casă</w:t>
            </w:r>
            <w:proofErr w:type="spellEnd"/>
            <w:r w:rsidRPr="009B4F5E">
              <w:rPr>
                <w:sz w:val="28"/>
                <w:szCs w:val="28"/>
              </w:rPr>
              <w:t xml:space="preserve">”, </w:t>
            </w:r>
            <w:r>
              <w:rPr>
                <w:sz w:val="28"/>
                <w:szCs w:val="28"/>
                <w:shd w:val="clear" w:color="auto" w:fill="FFFFFF"/>
              </w:rPr>
              <w:t xml:space="preserve">care are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drept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scop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facilitarea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accesului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persoanelor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fizice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procurarea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unei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locuințe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prin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contractarea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credite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ipotecare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garantate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parțial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stat.</w:t>
            </w:r>
          </w:p>
          <w:p w:rsidR="000410EA" w:rsidRDefault="000410EA" w:rsidP="00397697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Legea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prevede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participația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proprie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inițială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la Program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cel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puțin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10% din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prețul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procurare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locuinței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restul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creditului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ipotecar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rînd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plățile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aferente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urmînd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fi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achitat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într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-o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perioadă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cel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mult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25 ani,</w:t>
            </w:r>
          </w:p>
          <w:p w:rsidR="000410EA" w:rsidRDefault="000410EA" w:rsidP="00397697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Întru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diminuarea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poverii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financiare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creditului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ipotecar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asupra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6E0D">
              <w:rPr>
                <w:sz w:val="28"/>
                <w:szCs w:val="28"/>
                <w:shd w:val="clear" w:color="auto" w:fill="FFFFFF"/>
              </w:rPr>
              <w:t>salariaților</w:t>
            </w:r>
            <w:proofErr w:type="spellEnd"/>
            <w:r w:rsidR="000A6E0D">
              <w:rPr>
                <w:sz w:val="28"/>
                <w:szCs w:val="28"/>
                <w:shd w:val="clear" w:color="auto" w:fill="FFFFFF"/>
              </w:rPr>
              <w:t xml:space="preserve"> din </w:t>
            </w:r>
            <w:proofErr w:type="spellStart"/>
            <w:r w:rsidR="000A6E0D">
              <w:rPr>
                <w:sz w:val="28"/>
                <w:szCs w:val="28"/>
                <w:shd w:val="clear" w:color="auto" w:fill="FFFFFF"/>
              </w:rPr>
              <w:t>sectorul</w:t>
            </w:r>
            <w:proofErr w:type="spellEnd"/>
            <w:r w:rsidR="000A6E0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6E0D">
              <w:rPr>
                <w:sz w:val="28"/>
                <w:szCs w:val="28"/>
                <w:shd w:val="clear" w:color="auto" w:fill="FFFFFF"/>
              </w:rPr>
              <w:t>privat</w:t>
            </w:r>
            <w:proofErr w:type="spellEnd"/>
            <w:r w:rsidR="000A6E0D">
              <w:rPr>
                <w:sz w:val="28"/>
                <w:szCs w:val="28"/>
                <w:shd w:val="clear" w:color="auto" w:fill="FFFFFF"/>
              </w:rPr>
              <w:t xml:space="preserve"> al </w:t>
            </w:r>
            <w:proofErr w:type="spellStart"/>
            <w:proofErr w:type="gramStart"/>
            <w:r w:rsidR="000A6E0D">
              <w:rPr>
                <w:sz w:val="28"/>
                <w:szCs w:val="28"/>
                <w:shd w:val="clear" w:color="auto" w:fill="FFFFFF"/>
              </w:rPr>
              <w:t>economiei</w:t>
            </w:r>
            <w:proofErr w:type="spellEnd"/>
            <w:r w:rsidR="000A6E0D">
              <w:rPr>
                <w:sz w:val="28"/>
                <w:szCs w:val="28"/>
                <w:shd w:val="clear" w:color="auto" w:fill="FFFFFF"/>
              </w:rPr>
              <w:t xml:space="preserve">  se</w:t>
            </w:r>
            <w:proofErr w:type="gramEnd"/>
            <w:r w:rsidR="000A6E0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6E0D">
              <w:rPr>
                <w:sz w:val="28"/>
                <w:szCs w:val="28"/>
                <w:shd w:val="clear" w:color="auto" w:fill="FFFFFF"/>
              </w:rPr>
              <w:t>propune</w:t>
            </w:r>
            <w:proofErr w:type="spellEnd"/>
            <w:r w:rsidR="000A6E0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compensarea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parțială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="000A6E0D"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="000A6E0D">
              <w:rPr>
                <w:sz w:val="28"/>
                <w:szCs w:val="28"/>
                <w:shd w:val="clear" w:color="auto" w:fill="FFFFFF"/>
              </w:rPr>
              <w:t>pînă</w:t>
            </w:r>
            <w:proofErr w:type="spellEnd"/>
            <w:r w:rsidR="000A6E0D">
              <w:rPr>
                <w:sz w:val="28"/>
                <w:szCs w:val="28"/>
                <w:shd w:val="clear" w:color="auto" w:fill="FFFFFF"/>
              </w:rPr>
              <w:t xml:space="preserve"> la </w:t>
            </w:r>
            <w:r>
              <w:rPr>
                <w:sz w:val="28"/>
                <w:szCs w:val="28"/>
                <w:shd w:val="clear" w:color="auto" w:fill="FFFFFF"/>
              </w:rPr>
              <w:t xml:space="preserve">50 la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sută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) din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bugetul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stat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cheltuielilor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efectuate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în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acest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scop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0A6E0D" w:rsidRDefault="000A6E0D" w:rsidP="000A6E0D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 w:rsidRPr="00FA2B14">
              <w:rPr>
                <w:sz w:val="28"/>
                <w:szCs w:val="28"/>
              </w:rPr>
              <w:t>Scopul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urmărit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prin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promovarea</w:t>
            </w:r>
            <w:proofErr w:type="spellEnd"/>
            <w:r w:rsidRPr="00FA2B14">
              <w:rPr>
                <w:sz w:val="28"/>
                <w:szCs w:val="28"/>
              </w:rPr>
              <w:t xml:space="preserve"> și </w:t>
            </w:r>
            <w:proofErr w:type="spellStart"/>
            <w:r w:rsidRPr="00FA2B14">
              <w:rPr>
                <w:sz w:val="28"/>
                <w:szCs w:val="28"/>
              </w:rPr>
              <w:t>implementarea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acestui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proiect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constă</w:t>
            </w:r>
            <w:proofErr w:type="spellEnd"/>
            <w:r w:rsidRPr="00FA2B14">
              <w:rPr>
                <w:sz w:val="28"/>
                <w:szCs w:val="28"/>
              </w:rPr>
              <w:t xml:space="preserve"> în </w:t>
            </w:r>
            <w:proofErr w:type="spellStart"/>
            <w:r w:rsidRPr="00FA2B14">
              <w:rPr>
                <w:sz w:val="28"/>
                <w:szCs w:val="28"/>
              </w:rPr>
              <w:t>acordarea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unui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suport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financiar</w:t>
            </w:r>
            <w:proofErr w:type="spellEnd"/>
            <w:r w:rsidRPr="00FA2B14">
              <w:rPr>
                <w:sz w:val="28"/>
                <w:szCs w:val="28"/>
              </w:rPr>
              <w:t xml:space="preserve"> către </w:t>
            </w:r>
            <w:proofErr w:type="spellStart"/>
            <w:r w:rsidR="00916A79">
              <w:rPr>
                <w:sz w:val="28"/>
                <w:szCs w:val="28"/>
              </w:rPr>
              <w:t>salariații</w:t>
            </w:r>
            <w:proofErr w:type="spellEnd"/>
            <w:r>
              <w:rPr>
                <w:sz w:val="28"/>
                <w:szCs w:val="28"/>
              </w:rPr>
              <w:t xml:space="preserve"> din </w:t>
            </w:r>
            <w:proofErr w:type="spellStart"/>
            <w:r>
              <w:rPr>
                <w:sz w:val="28"/>
                <w:szCs w:val="28"/>
              </w:rPr>
              <w:t>sectorul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privat</w:t>
            </w:r>
            <w:proofErr w:type="spellEnd"/>
            <w:r>
              <w:rPr>
                <w:sz w:val="28"/>
                <w:szCs w:val="28"/>
              </w:rPr>
              <w:t xml:space="preserve"> al </w:t>
            </w:r>
            <w:proofErr w:type="spellStart"/>
            <w:r>
              <w:rPr>
                <w:sz w:val="28"/>
                <w:szCs w:val="28"/>
              </w:rPr>
              <w:t>economiei</w:t>
            </w:r>
            <w:proofErr w:type="spellEnd"/>
            <w:r w:rsidRPr="00FA2B14">
              <w:rPr>
                <w:sz w:val="28"/>
                <w:szCs w:val="28"/>
              </w:rPr>
              <w:t xml:space="preserve"> în </w:t>
            </w:r>
            <w:proofErr w:type="spellStart"/>
            <w:r w:rsidRPr="00FA2B14">
              <w:rPr>
                <w:sz w:val="28"/>
                <w:szCs w:val="28"/>
              </w:rPr>
              <w:t>obținerea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primei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locuințe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prin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facilitarea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accesului</w:t>
            </w:r>
            <w:proofErr w:type="spellEnd"/>
            <w:r w:rsidRPr="00FA2B14">
              <w:rPr>
                <w:sz w:val="28"/>
                <w:szCs w:val="28"/>
              </w:rPr>
              <w:t xml:space="preserve"> la </w:t>
            </w:r>
            <w:proofErr w:type="spellStart"/>
            <w:r w:rsidRPr="00FA2B14">
              <w:rPr>
                <w:sz w:val="28"/>
                <w:szCs w:val="28"/>
              </w:rPr>
              <w:t>credite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ipotecare</w:t>
            </w:r>
            <w:proofErr w:type="spellEnd"/>
            <w:r w:rsidRPr="00FA2B14">
              <w:rPr>
                <w:sz w:val="28"/>
                <w:szCs w:val="28"/>
              </w:rPr>
              <w:t xml:space="preserve">, </w:t>
            </w:r>
            <w:proofErr w:type="spellStart"/>
            <w:r w:rsidRPr="00FA2B14">
              <w:rPr>
                <w:sz w:val="28"/>
                <w:szCs w:val="28"/>
              </w:rPr>
              <w:t>crearea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condițiilor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optime</w:t>
            </w:r>
            <w:proofErr w:type="spellEnd"/>
            <w:r w:rsidRPr="00FA2B14">
              <w:rPr>
                <w:sz w:val="28"/>
                <w:szCs w:val="28"/>
              </w:rPr>
              <w:t xml:space="preserve"> pentru </w:t>
            </w:r>
            <w:proofErr w:type="spellStart"/>
            <w:r w:rsidRPr="00FA2B14">
              <w:rPr>
                <w:sz w:val="28"/>
                <w:szCs w:val="28"/>
              </w:rPr>
              <w:t>creșterea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termenului</w:t>
            </w:r>
            <w:proofErr w:type="spellEnd"/>
            <w:r w:rsidRPr="00FA2B14">
              <w:rPr>
                <w:sz w:val="28"/>
                <w:szCs w:val="28"/>
              </w:rPr>
              <w:t xml:space="preserve"> de </w:t>
            </w:r>
            <w:proofErr w:type="spellStart"/>
            <w:r w:rsidRPr="00FA2B14">
              <w:rPr>
                <w:sz w:val="28"/>
                <w:szCs w:val="28"/>
              </w:rPr>
              <w:t>scadență</w:t>
            </w:r>
            <w:proofErr w:type="spellEnd"/>
            <w:r w:rsidRPr="00FA2B14">
              <w:rPr>
                <w:sz w:val="28"/>
                <w:szCs w:val="28"/>
              </w:rPr>
              <w:t xml:space="preserve"> a </w:t>
            </w:r>
            <w:proofErr w:type="spellStart"/>
            <w:r w:rsidRPr="00FA2B14">
              <w:rPr>
                <w:sz w:val="28"/>
                <w:szCs w:val="28"/>
              </w:rPr>
              <w:t>creditelor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ipotecare</w:t>
            </w:r>
            <w:proofErr w:type="spellEnd"/>
            <w:r w:rsidRPr="00FA2B14">
              <w:rPr>
                <w:sz w:val="28"/>
                <w:szCs w:val="28"/>
              </w:rPr>
              <w:t xml:space="preserve">, </w:t>
            </w:r>
            <w:proofErr w:type="spellStart"/>
            <w:r w:rsidRPr="00FA2B14">
              <w:rPr>
                <w:sz w:val="28"/>
                <w:szCs w:val="28"/>
              </w:rPr>
              <w:t>reducerea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migrației</w:t>
            </w:r>
            <w:proofErr w:type="spellEnd"/>
            <w:r w:rsidRPr="00FA2B14">
              <w:rPr>
                <w:sz w:val="28"/>
                <w:szCs w:val="28"/>
              </w:rPr>
              <w:t xml:space="preserve"> în </w:t>
            </w:r>
            <w:proofErr w:type="spellStart"/>
            <w:r w:rsidRPr="00FA2B14">
              <w:rPr>
                <w:sz w:val="28"/>
                <w:szCs w:val="28"/>
              </w:rPr>
              <w:t>rîndul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tinerilor</w:t>
            </w:r>
            <w:proofErr w:type="spellEnd"/>
            <w:r w:rsidRPr="00FA2B14">
              <w:rPr>
                <w:sz w:val="28"/>
                <w:szCs w:val="28"/>
              </w:rPr>
              <w:t xml:space="preserve"> (</w:t>
            </w:r>
            <w:proofErr w:type="spellStart"/>
            <w:r w:rsidRPr="00FA2B14">
              <w:rPr>
                <w:sz w:val="28"/>
                <w:szCs w:val="28"/>
              </w:rPr>
              <w:t>potrivit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studiilor</w:t>
            </w:r>
            <w:proofErr w:type="spellEnd"/>
            <w:r w:rsidRPr="00FA2B14">
              <w:rPr>
                <w:sz w:val="28"/>
                <w:szCs w:val="28"/>
              </w:rPr>
              <w:t xml:space="preserve"> de </w:t>
            </w:r>
            <w:proofErr w:type="spellStart"/>
            <w:r w:rsidRPr="00FA2B14">
              <w:rPr>
                <w:sz w:val="28"/>
                <w:szCs w:val="28"/>
              </w:rPr>
              <w:t>specialitate</w:t>
            </w:r>
            <w:proofErr w:type="spellEnd"/>
            <w:r w:rsidRPr="00FA2B14">
              <w:rPr>
                <w:sz w:val="28"/>
                <w:szCs w:val="28"/>
              </w:rPr>
              <w:t xml:space="preserve">, </w:t>
            </w:r>
            <w:proofErr w:type="spellStart"/>
            <w:r w:rsidRPr="00FA2B14">
              <w:rPr>
                <w:sz w:val="28"/>
                <w:szCs w:val="28"/>
              </w:rPr>
              <w:t>lipsa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unei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locuințe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este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cauza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principală</w:t>
            </w:r>
            <w:proofErr w:type="spellEnd"/>
            <w:r w:rsidRPr="00FA2B14">
              <w:rPr>
                <w:sz w:val="28"/>
                <w:szCs w:val="28"/>
              </w:rPr>
              <w:t xml:space="preserve"> pentru care </w:t>
            </w:r>
            <w:proofErr w:type="spellStart"/>
            <w:r w:rsidRPr="00FA2B14">
              <w:rPr>
                <w:sz w:val="28"/>
                <w:szCs w:val="28"/>
              </w:rPr>
              <w:t>tinerii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moldoveni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decid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să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emigreze</w:t>
            </w:r>
            <w:proofErr w:type="spellEnd"/>
            <w:r w:rsidRPr="00FA2B14">
              <w:rPr>
                <w:sz w:val="28"/>
                <w:szCs w:val="28"/>
              </w:rPr>
              <w:t xml:space="preserve">),  </w:t>
            </w:r>
            <w:proofErr w:type="spellStart"/>
            <w:r w:rsidRPr="00FA2B14">
              <w:rPr>
                <w:sz w:val="28"/>
                <w:szCs w:val="28"/>
              </w:rPr>
              <w:t>creșterea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ratei</w:t>
            </w:r>
            <w:proofErr w:type="spellEnd"/>
            <w:r w:rsidRPr="00FA2B14">
              <w:rPr>
                <w:sz w:val="28"/>
                <w:szCs w:val="28"/>
              </w:rPr>
              <w:t xml:space="preserve"> de </w:t>
            </w:r>
            <w:proofErr w:type="spellStart"/>
            <w:r w:rsidRPr="00FA2B14">
              <w:rPr>
                <w:sz w:val="28"/>
                <w:szCs w:val="28"/>
              </w:rPr>
              <w:t>angajări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sz w:val="28"/>
                <w:szCs w:val="28"/>
              </w:rPr>
              <w:t>oficiale</w:t>
            </w:r>
            <w:proofErr w:type="spellEnd"/>
            <w:r w:rsidRPr="00FA2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în </w:t>
            </w:r>
            <w:proofErr w:type="spellStart"/>
            <w:r>
              <w:rPr>
                <w:sz w:val="28"/>
                <w:szCs w:val="28"/>
              </w:rPr>
              <w:t>sectorul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privat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10EA" w:rsidRPr="002C1F5B" w:rsidRDefault="000410EA" w:rsidP="000A6E0D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 w:rsidRPr="009B4F5E">
              <w:rPr>
                <w:sz w:val="28"/>
                <w:szCs w:val="28"/>
              </w:rPr>
              <w:t>Totodată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acesta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va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4F5E">
              <w:rPr>
                <w:sz w:val="28"/>
                <w:szCs w:val="28"/>
              </w:rPr>
              <w:t>servi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r w:rsidR="000A6E0D">
              <w:rPr>
                <w:sz w:val="28"/>
                <w:szCs w:val="28"/>
              </w:rPr>
              <w:t xml:space="preserve"> </w:t>
            </w:r>
            <w:proofErr w:type="spellStart"/>
            <w:r w:rsidR="000A6E0D">
              <w:rPr>
                <w:sz w:val="28"/>
                <w:szCs w:val="28"/>
              </w:rPr>
              <w:t>drept</w:t>
            </w:r>
            <w:proofErr w:type="spellEnd"/>
            <w:proofErr w:type="gramEnd"/>
            <w:r w:rsidR="000A6E0D">
              <w:rPr>
                <w:sz w:val="28"/>
                <w:szCs w:val="28"/>
              </w:rPr>
              <w:t xml:space="preserve"> un </w:t>
            </w:r>
            <w:r w:rsidRPr="009B4F5E">
              <w:rPr>
                <w:sz w:val="28"/>
                <w:szCs w:val="28"/>
              </w:rPr>
              <w:t xml:space="preserve">instrument de </w:t>
            </w:r>
            <w:proofErr w:type="spellStart"/>
            <w:r w:rsidRPr="009B4F5E">
              <w:rPr>
                <w:sz w:val="28"/>
                <w:szCs w:val="28"/>
              </w:rPr>
              <w:t>minimizare</w:t>
            </w:r>
            <w:proofErr w:type="spellEnd"/>
            <w:r w:rsidRPr="009B4F5E">
              <w:rPr>
                <w:sz w:val="28"/>
                <w:szCs w:val="28"/>
              </w:rPr>
              <w:t xml:space="preserve"> a </w:t>
            </w:r>
            <w:proofErr w:type="spellStart"/>
            <w:r w:rsidRPr="009B4F5E">
              <w:rPr>
                <w:sz w:val="28"/>
                <w:szCs w:val="28"/>
              </w:rPr>
              <w:t>achitării</w:t>
            </w:r>
            <w:proofErr w:type="spellEnd"/>
            <w:r w:rsidRPr="009B4F5E">
              <w:rPr>
                <w:sz w:val="28"/>
                <w:szCs w:val="28"/>
              </w:rPr>
              <w:t xml:space="preserve">  </w:t>
            </w:r>
            <w:proofErr w:type="spellStart"/>
            <w:r w:rsidRPr="009B4F5E">
              <w:rPr>
                <w:sz w:val="28"/>
                <w:szCs w:val="28"/>
              </w:rPr>
              <w:t>salariilor</w:t>
            </w:r>
            <w:proofErr w:type="spellEnd"/>
            <w:r w:rsidRPr="009B4F5E">
              <w:rPr>
                <w:sz w:val="28"/>
                <w:szCs w:val="28"/>
              </w:rPr>
              <w:t xml:space="preserve"> „în </w:t>
            </w:r>
            <w:proofErr w:type="spellStart"/>
            <w:r w:rsidRPr="009B4F5E">
              <w:rPr>
                <w:sz w:val="28"/>
                <w:szCs w:val="28"/>
              </w:rPr>
              <w:t>plic</w:t>
            </w:r>
            <w:proofErr w:type="spellEnd"/>
            <w:r w:rsidRPr="009B4F5E">
              <w:rPr>
                <w:sz w:val="28"/>
                <w:szCs w:val="28"/>
              </w:rPr>
              <w:t>”.</w:t>
            </w:r>
          </w:p>
        </w:tc>
      </w:tr>
      <w:tr w:rsidR="000410EA" w:rsidTr="00397697">
        <w:tc>
          <w:tcPr>
            <w:tcW w:w="5000" w:type="pct"/>
            <w:shd w:val="clear" w:color="auto" w:fill="D9D9D9"/>
            <w:hideMark/>
          </w:tcPr>
          <w:p w:rsidR="000410EA" w:rsidRDefault="000410EA" w:rsidP="000410EA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Principalele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prevederi</w:t>
            </w:r>
            <w:proofErr w:type="spellEnd"/>
            <w:r>
              <w:rPr>
                <w:b/>
                <w:sz w:val="28"/>
                <w:szCs w:val="28"/>
              </w:rPr>
              <w:t xml:space="preserve"> ale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  <w:r>
              <w:rPr>
                <w:b/>
                <w:sz w:val="28"/>
                <w:szCs w:val="28"/>
              </w:rPr>
              <w:t xml:space="preserve"> și </w:t>
            </w:r>
            <w:proofErr w:type="spellStart"/>
            <w:r>
              <w:rPr>
                <w:b/>
                <w:sz w:val="28"/>
                <w:szCs w:val="28"/>
              </w:rPr>
              <w:t>evidențierea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elementelor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noi</w:t>
            </w:r>
            <w:proofErr w:type="spellEnd"/>
          </w:p>
        </w:tc>
      </w:tr>
      <w:tr w:rsidR="000410EA" w:rsidRPr="00C77535" w:rsidTr="00397697">
        <w:tc>
          <w:tcPr>
            <w:tcW w:w="5000" w:type="pct"/>
            <w:hideMark/>
          </w:tcPr>
          <w:p w:rsidR="000410EA" w:rsidRDefault="000410EA" w:rsidP="00397697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Proiectul prevede aprobarea,  a unui Regulament ce reglementează modul de stabilire a mărimii compensațiilor, procedura de acordare a compensațiilor și modul de utilizare a mijloacelor respective pe parcursul anului bugetar.</w:t>
            </w:r>
          </w:p>
          <w:p w:rsidR="000410EA" w:rsidRDefault="000410EA" w:rsidP="00E66EE8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Regulamentul stabilește formula de calcul a compensațiilor oferite reieșind din costul maximal al unei locuințe de </w:t>
            </w:r>
            <w:r w:rsidR="000A6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600 mii  lei, cu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compensarea treptată</w:t>
            </w:r>
            <w:r w:rsidR="00E6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pî</w:t>
            </w:r>
            <w:r w:rsidR="000A6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nă la 50 la sută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din suma de bază a creditului ipotecar, </w:t>
            </w:r>
            <w:r w:rsidR="00E6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 nu mai mult decît </w:t>
            </w:r>
            <w:r w:rsidR="00E66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10%, după caz 15% din salariul calculat al solicitantului, pe parcursul a 25 ani și menținerea formulei respective indiferent de termenul contractual.</w:t>
            </w:r>
          </w:p>
          <w:p w:rsidR="000410EA" w:rsidRDefault="000410EA" w:rsidP="00397697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În cazul în care beneficiarul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 încadrează în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categorii</w:t>
            </w:r>
            <w:r w:rsidR="00E6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 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participanți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 </w:t>
            </w:r>
            <w:r w:rsidR="00E6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salariat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 </w:t>
            </w:r>
            <w:r w:rsidR="00E66EE8">
              <w:rPr>
                <w:rFonts w:ascii="Times New Roman" w:eastAsia="Times New Roman" w:hAnsi="Times New Roman" w:cs="Times New Roman"/>
                <w:sz w:val="28"/>
                <w:szCs w:val="28"/>
              </w:rPr>
              <w:t>sectorului privat  și ca părinte cu copii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>, mărimea compensației cumulative nu poate depăși valoarea 100% din valoarea creditului ipotecar (suma principală), care nu include dobînzile aferente, comisionul de garantare și alte plăți bancare.</w:t>
            </w:r>
          </w:p>
          <w:p w:rsidR="00916A79" w:rsidRDefault="00916A79" w:rsidP="00916A79">
            <w:pPr>
              <w:spacing w:line="276" w:lineRule="auto"/>
              <w:ind w:firstLine="426"/>
              <w:rPr>
                <w:sz w:val="28"/>
                <w:szCs w:val="28"/>
                <w:lang w:eastAsia="ro-RO"/>
              </w:rPr>
            </w:pPr>
            <w:r>
              <w:rPr>
                <w:sz w:val="28"/>
                <w:szCs w:val="24"/>
                <w:lang w:eastAsia="ro-RO"/>
              </w:rPr>
              <w:t xml:space="preserve">Beneficiarii de compensații </w:t>
            </w:r>
            <w:proofErr w:type="spellStart"/>
            <w:r>
              <w:rPr>
                <w:sz w:val="28"/>
                <w:szCs w:val="24"/>
                <w:lang w:eastAsia="ro-RO"/>
              </w:rPr>
              <w:t>bănești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în </w:t>
            </w:r>
            <w:proofErr w:type="spellStart"/>
            <w:r>
              <w:rPr>
                <w:sz w:val="28"/>
                <w:szCs w:val="24"/>
                <w:lang w:eastAsia="ro-RO"/>
              </w:rPr>
              <w:t>conformitate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cu </w:t>
            </w:r>
            <w:proofErr w:type="spellStart"/>
            <w:r>
              <w:rPr>
                <w:sz w:val="28"/>
                <w:szCs w:val="24"/>
                <w:lang w:eastAsia="ro-RO"/>
              </w:rPr>
              <w:t>prezentul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ro-RO"/>
              </w:rPr>
              <w:t>Regulament</w:t>
            </w:r>
            <w:proofErr w:type="spellEnd"/>
            <w:r>
              <w:rPr>
                <w:sz w:val="28"/>
                <w:szCs w:val="24"/>
                <w:lang w:eastAsia="ro-RO"/>
              </w:rPr>
              <w:t>, nu pot fi</w:t>
            </w:r>
            <w:r w:rsidR="00F7497E">
              <w:rPr>
                <w:sz w:val="28"/>
                <w:szCs w:val="24"/>
                <w:lang w:eastAsia="ro-RO"/>
              </w:rPr>
              <w:t xml:space="preserve">, </w:t>
            </w:r>
            <w:r w:rsidR="006C131D">
              <w:rPr>
                <w:sz w:val="28"/>
                <w:szCs w:val="24"/>
                <w:lang w:eastAsia="ro-RO"/>
              </w:rPr>
              <w:t>simultan</w:t>
            </w:r>
            <w:bookmarkStart w:id="0" w:name="_GoBack"/>
            <w:bookmarkEnd w:id="0"/>
            <w:r>
              <w:rPr>
                <w:sz w:val="28"/>
                <w:szCs w:val="24"/>
                <w:lang w:eastAsia="ro-RO"/>
              </w:rPr>
              <w:t xml:space="preserve"> și beneficiari </w:t>
            </w:r>
            <w:proofErr w:type="spellStart"/>
            <w:r>
              <w:rPr>
                <w:sz w:val="28"/>
                <w:szCs w:val="24"/>
                <w:lang w:eastAsia="ro-RO"/>
              </w:rPr>
              <w:t>ai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ro-RO"/>
              </w:rPr>
              <w:t>programului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ro-RO"/>
              </w:rPr>
              <w:t>destinat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ro-RO"/>
              </w:rPr>
              <w:t>angajaților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din </w:t>
            </w:r>
            <w:proofErr w:type="spellStart"/>
            <w:r>
              <w:rPr>
                <w:sz w:val="28"/>
                <w:szCs w:val="24"/>
                <w:lang w:eastAsia="ro-RO"/>
              </w:rPr>
              <w:t>sector</w:t>
            </w:r>
            <w:r w:rsidR="00F7497E">
              <w:rPr>
                <w:sz w:val="28"/>
                <w:szCs w:val="24"/>
                <w:lang w:eastAsia="ro-RO"/>
              </w:rPr>
              <w:t>ul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public </w:t>
            </w:r>
            <w:proofErr w:type="spellStart"/>
            <w:r>
              <w:rPr>
                <w:sz w:val="28"/>
                <w:szCs w:val="24"/>
                <w:lang w:eastAsia="ro-RO"/>
              </w:rPr>
              <w:t>reglementat</w:t>
            </w:r>
            <w:proofErr w:type="spellEnd"/>
            <w:r>
              <w:rPr>
                <w:sz w:val="28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eastAsia="ro-RO"/>
              </w:rPr>
              <w:t>Hotărârea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o-RO"/>
              </w:rPr>
              <w:t>Guvernului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nr. 567/2018 pentru </w:t>
            </w:r>
            <w:proofErr w:type="spellStart"/>
            <w:r>
              <w:rPr>
                <w:sz w:val="28"/>
                <w:szCs w:val="28"/>
                <w:lang w:eastAsia="ro-RO"/>
              </w:rPr>
              <w:t>aprobarea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o-RO"/>
              </w:rPr>
              <w:t>Regulamentului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o-RO"/>
              </w:rPr>
              <w:t>privind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o-RO"/>
              </w:rPr>
              <w:t>modul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eastAsia="ro-RO"/>
              </w:rPr>
              <w:t>acordare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din </w:t>
            </w:r>
            <w:proofErr w:type="spellStart"/>
            <w:r>
              <w:rPr>
                <w:sz w:val="28"/>
                <w:szCs w:val="28"/>
                <w:lang w:eastAsia="ro-RO"/>
              </w:rPr>
              <w:t>bugetul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de stat a </w:t>
            </w:r>
            <w:proofErr w:type="spellStart"/>
            <w:r>
              <w:rPr>
                <w:sz w:val="28"/>
                <w:szCs w:val="28"/>
                <w:lang w:eastAsia="ro-RO"/>
              </w:rPr>
              <w:t>compensațiilor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pentru </w:t>
            </w:r>
            <w:proofErr w:type="spellStart"/>
            <w:r>
              <w:rPr>
                <w:sz w:val="28"/>
                <w:szCs w:val="28"/>
                <w:lang w:eastAsia="ro-RO"/>
              </w:rPr>
              <w:t>angajații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din sector public, </w:t>
            </w:r>
            <w:proofErr w:type="spellStart"/>
            <w:r>
              <w:rPr>
                <w:sz w:val="28"/>
                <w:szCs w:val="28"/>
                <w:lang w:eastAsia="ro-RO"/>
              </w:rPr>
              <w:t>participanți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în cadrul </w:t>
            </w:r>
            <w:proofErr w:type="spellStart"/>
            <w:r>
              <w:rPr>
                <w:sz w:val="28"/>
                <w:szCs w:val="28"/>
                <w:lang w:eastAsia="ro-RO"/>
              </w:rPr>
              <w:t>Programului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de stat “Prima </w:t>
            </w:r>
            <w:proofErr w:type="spellStart"/>
            <w:r>
              <w:rPr>
                <w:sz w:val="28"/>
                <w:szCs w:val="28"/>
                <w:lang w:eastAsia="ro-RO"/>
              </w:rPr>
              <w:t>casă</w:t>
            </w:r>
            <w:proofErr w:type="spellEnd"/>
            <w:r>
              <w:rPr>
                <w:sz w:val="28"/>
                <w:szCs w:val="28"/>
                <w:lang w:eastAsia="ro-RO"/>
              </w:rPr>
              <w:t>”.</w:t>
            </w:r>
          </w:p>
          <w:p w:rsidR="000410EA" w:rsidRDefault="000410EA" w:rsidP="00397697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Cererile de acordare a compensațiilor vor fi înregistrate în registrul electronic al cererilor de acordare a compensațiilor disponibil pe pagina web oficială a Programului de stat ”Prima casă”.</w:t>
            </w:r>
          </w:p>
          <w:p w:rsidR="000410EA" w:rsidRDefault="000410EA" w:rsidP="00916A79">
            <w:pPr>
              <w:spacing w:line="276" w:lineRule="auto"/>
              <w:ind w:firstLine="284"/>
              <w:rPr>
                <w:sz w:val="28"/>
                <w:szCs w:val="28"/>
                <w:lang w:eastAsia="ro-RO"/>
              </w:rPr>
            </w:pPr>
            <w:r w:rsidRPr="00916A79">
              <w:rPr>
                <w:sz w:val="28"/>
                <w:szCs w:val="28"/>
              </w:rPr>
              <w:t xml:space="preserve">Transferul compensației se </w:t>
            </w:r>
            <w:proofErr w:type="spellStart"/>
            <w:r w:rsidRPr="00916A79">
              <w:rPr>
                <w:sz w:val="28"/>
                <w:szCs w:val="28"/>
              </w:rPr>
              <w:t>prevede</w:t>
            </w:r>
            <w:proofErr w:type="spellEnd"/>
            <w:r w:rsidRPr="00916A79">
              <w:rPr>
                <w:sz w:val="28"/>
                <w:szCs w:val="28"/>
              </w:rPr>
              <w:t xml:space="preserve"> a fi </w:t>
            </w:r>
            <w:proofErr w:type="spellStart"/>
            <w:r w:rsidRPr="00916A79">
              <w:rPr>
                <w:sz w:val="28"/>
                <w:szCs w:val="28"/>
              </w:rPr>
              <w:t>efectuat</w:t>
            </w:r>
            <w:proofErr w:type="spellEnd"/>
            <w:r w:rsidRPr="00916A79">
              <w:rPr>
                <w:sz w:val="28"/>
                <w:szCs w:val="28"/>
              </w:rPr>
              <w:t xml:space="preserve"> lunar,</w:t>
            </w:r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dacă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este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disponibilă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informația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cu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privire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la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fondul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salarizare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și a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altor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recompense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obținut</w:t>
            </w:r>
            <w:r w:rsidR="00F7497E">
              <w:rPr>
                <w:sz w:val="28"/>
                <w:szCs w:val="28"/>
                <w:lang w:eastAsia="ro-RO"/>
              </w:rPr>
              <w:t>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către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beneficiar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și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reflectat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în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darea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seamă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privind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impozitul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pe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venit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,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privind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primele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asigurare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obligatorie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asistență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medicală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reținute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și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contribuțiile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asigurări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sociale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de stat </w:t>
            </w:r>
            <w:proofErr w:type="spellStart"/>
            <w:r w:rsidR="00916A79" w:rsidRPr="00916A79">
              <w:rPr>
                <w:sz w:val="28"/>
                <w:szCs w:val="28"/>
                <w:lang w:eastAsia="ro-RO"/>
              </w:rPr>
              <w:t>obligatorii</w:t>
            </w:r>
            <w:proofErr w:type="spellEnd"/>
            <w:r w:rsidR="00916A79" w:rsidRPr="00916A79">
              <w:rPr>
                <w:sz w:val="28"/>
                <w:szCs w:val="28"/>
                <w:lang w:eastAsia="ro-RO"/>
              </w:rPr>
              <w:t xml:space="preserve"> calculate</w:t>
            </w:r>
            <w:r w:rsidR="00916A79" w:rsidRPr="00916A79">
              <w:rPr>
                <w:sz w:val="28"/>
                <w:szCs w:val="28"/>
              </w:rPr>
              <w:t xml:space="preserve"> </w:t>
            </w:r>
            <w:proofErr w:type="spellStart"/>
            <w:r w:rsidR="00916A79" w:rsidRPr="00916A79">
              <w:rPr>
                <w:sz w:val="28"/>
                <w:szCs w:val="28"/>
              </w:rPr>
              <w:t>aferentă</w:t>
            </w:r>
            <w:proofErr w:type="spellEnd"/>
            <w:r w:rsidR="00916A79" w:rsidRPr="00916A79">
              <w:rPr>
                <w:sz w:val="28"/>
                <w:szCs w:val="28"/>
                <w:lang w:val="it-IT"/>
              </w:rPr>
              <w:t xml:space="preserve"> lunii anterioare ce precede luna de acordare a compensației</w:t>
            </w:r>
            <w:r w:rsidR="00916A79">
              <w:rPr>
                <w:sz w:val="28"/>
                <w:szCs w:val="28"/>
                <w:lang w:eastAsia="ro-RO"/>
              </w:rPr>
              <w:t xml:space="preserve">, </w:t>
            </w:r>
            <w:r>
              <w:rPr>
                <w:sz w:val="28"/>
                <w:szCs w:val="28"/>
              </w:rPr>
              <w:t>direct la contul bancar utilizat de către solicitant la instituția creditară pentru decontările aferente creditului ipotecar, pentru a garanta utilizarea conform destinației a mijloacelor alocate din bugetul de stat.</w:t>
            </w:r>
          </w:p>
        </w:tc>
      </w:tr>
      <w:tr w:rsidR="000410EA" w:rsidTr="00397697">
        <w:tc>
          <w:tcPr>
            <w:tcW w:w="5000" w:type="pct"/>
            <w:shd w:val="clear" w:color="auto" w:fill="D9D9D9"/>
            <w:hideMark/>
          </w:tcPr>
          <w:p w:rsidR="000410EA" w:rsidRDefault="000410EA" w:rsidP="000410EA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Fundamentarea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economico-financiară</w:t>
            </w:r>
            <w:proofErr w:type="spellEnd"/>
          </w:p>
        </w:tc>
      </w:tr>
      <w:tr w:rsidR="000410EA" w:rsidRPr="00C77535" w:rsidTr="00397697">
        <w:trPr>
          <w:trHeight w:val="1039"/>
        </w:trPr>
        <w:tc>
          <w:tcPr>
            <w:tcW w:w="5000" w:type="pct"/>
            <w:hideMark/>
          </w:tcPr>
          <w:p w:rsidR="000410EA" w:rsidRDefault="000410EA" w:rsidP="00397697">
            <w:pPr>
              <w:spacing w:line="276" w:lineRule="auto"/>
              <w:ind w:firstLine="604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Adoptarea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proiectului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hotărîre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va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implica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costuri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financiare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care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urmează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a fi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prevăzute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anual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în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bugetul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stat. </w:t>
            </w:r>
          </w:p>
          <w:p w:rsidR="000410EA" w:rsidRDefault="00130F55" w:rsidP="009C7C70">
            <w:pPr>
              <w:spacing w:line="276" w:lineRule="auto"/>
              <w:ind w:firstLine="6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Pentru </w:t>
            </w:r>
            <w:proofErr w:type="spellStart"/>
            <w:r>
              <w:rPr>
                <w:sz w:val="28"/>
                <w:szCs w:val="28"/>
              </w:rPr>
              <w:t>anul</w:t>
            </w:r>
            <w:proofErr w:type="spellEnd"/>
            <w:r>
              <w:rPr>
                <w:sz w:val="28"/>
                <w:szCs w:val="28"/>
              </w:rPr>
              <w:t xml:space="preserve"> 2019</w:t>
            </w:r>
            <w:r w:rsidR="000410EA">
              <w:rPr>
                <w:sz w:val="28"/>
                <w:szCs w:val="28"/>
              </w:rPr>
              <w:t xml:space="preserve">, </w:t>
            </w:r>
            <w:proofErr w:type="spellStart"/>
            <w:r w:rsidR="000410EA">
              <w:rPr>
                <w:sz w:val="28"/>
                <w:szCs w:val="28"/>
              </w:rPr>
              <w:t>volumul</w:t>
            </w:r>
            <w:proofErr w:type="spellEnd"/>
            <w:r w:rsidR="000410EA">
              <w:rPr>
                <w:sz w:val="28"/>
                <w:szCs w:val="28"/>
              </w:rPr>
              <w:t xml:space="preserve"> de </w:t>
            </w:r>
            <w:proofErr w:type="spellStart"/>
            <w:r w:rsidR="000410EA">
              <w:rPr>
                <w:sz w:val="28"/>
                <w:szCs w:val="28"/>
              </w:rPr>
              <w:t>alocații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prevăzut</w:t>
            </w:r>
            <w:proofErr w:type="spellEnd"/>
            <w:r w:rsidR="000410EA">
              <w:rPr>
                <w:sz w:val="28"/>
                <w:szCs w:val="28"/>
              </w:rPr>
              <w:t xml:space="preserve"> în </w:t>
            </w:r>
            <w:proofErr w:type="spellStart"/>
            <w:r w:rsidR="000410EA">
              <w:rPr>
                <w:sz w:val="28"/>
                <w:szCs w:val="28"/>
              </w:rPr>
              <w:t>acest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scop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constituie</w:t>
            </w:r>
            <w:proofErr w:type="spellEnd"/>
            <w:r w:rsidR="000410EA">
              <w:rPr>
                <w:sz w:val="28"/>
                <w:szCs w:val="28"/>
              </w:rPr>
              <w:t xml:space="preserve"> 20 mil. </w:t>
            </w:r>
            <w:proofErr w:type="gramStart"/>
            <w:r w:rsidR="000410EA">
              <w:rPr>
                <w:sz w:val="28"/>
                <w:szCs w:val="28"/>
              </w:rPr>
              <w:t>lei</w:t>
            </w:r>
            <w:proofErr w:type="gramEnd"/>
            <w:r w:rsidR="000410EA">
              <w:rPr>
                <w:sz w:val="28"/>
                <w:szCs w:val="28"/>
              </w:rPr>
              <w:t xml:space="preserve">, </w:t>
            </w:r>
            <w:proofErr w:type="spellStart"/>
            <w:r w:rsidR="000410EA">
              <w:rPr>
                <w:sz w:val="28"/>
                <w:szCs w:val="28"/>
              </w:rPr>
              <w:t>incluse</w:t>
            </w:r>
            <w:proofErr w:type="spellEnd"/>
            <w:r w:rsidR="000410EA">
              <w:rPr>
                <w:sz w:val="28"/>
                <w:szCs w:val="28"/>
              </w:rPr>
              <w:t xml:space="preserve"> în </w:t>
            </w:r>
            <w:proofErr w:type="spellStart"/>
            <w:r w:rsidR="000410EA">
              <w:rPr>
                <w:sz w:val="28"/>
                <w:szCs w:val="28"/>
              </w:rPr>
              <w:t>bugetul</w:t>
            </w:r>
            <w:proofErr w:type="spellEnd"/>
            <w:r w:rsidR="000410EA">
              <w:rPr>
                <w:sz w:val="28"/>
                <w:szCs w:val="28"/>
              </w:rPr>
              <w:t xml:space="preserve"> de stat </w:t>
            </w:r>
            <w:proofErr w:type="spellStart"/>
            <w:r w:rsidR="000410EA">
              <w:rPr>
                <w:sz w:val="28"/>
                <w:szCs w:val="28"/>
              </w:rPr>
              <w:t>pe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anul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curent</w:t>
            </w:r>
            <w:proofErr w:type="spellEnd"/>
            <w:r w:rsidR="000410EA">
              <w:rPr>
                <w:sz w:val="28"/>
                <w:szCs w:val="28"/>
              </w:rPr>
              <w:t xml:space="preserve">. Suma </w:t>
            </w:r>
            <w:proofErr w:type="spellStart"/>
            <w:r w:rsidR="000410EA">
              <w:rPr>
                <w:sz w:val="28"/>
                <w:szCs w:val="28"/>
              </w:rPr>
              <w:t>respectivă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va</w:t>
            </w:r>
            <w:proofErr w:type="spellEnd"/>
            <w:r w:rsidR="000410EA">
              <w:rPr>
                <w:sz w:val="28"/>
                <w:szCs w:val="28"/>
              </w:rPr>
              <w:t xml:space="preserve"> fi </w:t>
            </w:r>
            <w:proofErr w:type="spellStart"/>
            <w:r w:rsidR="000410EA">
              <w:rPr>
                <w:sz w:val="28"/>
                <w:szCs w:val="28"/>
              </w:rPr>
              <w:t>ajustată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anual</w:t>
            </w:r>
            <w:proofErr w:type="spellEnd"/>
            <w:r w:rsidR="000410EA">
              <w:rPr>
                <w:sz w:val="28"/>
                <w:szCs w:val="28"/>
              </w:rPr>
              <w:t xml:space="preserve"> în </w:t>
            </w:r>
            <w:proofErr w:type="spellStart"/>
            <w:r w:rsidR="000410EA">
              <w:rPr>
                <w:sz w:val="28"/>
                <w:szCs w:val="28"/>
              </w:rPr>
              <w:t>funcție</w:t>
            </w:r>
            <w:proofErr w:type="spellEnd"/>
            <w:r w:rsidR="000410EA">
              <w:rPr>
                <w:sz w:val="28"/>
                <w:szCs w:val="28"/>
              </w:rPr>
              <w:t xml:space="preserve"> de </w:t>
            </w:r>
            <w:proofErr w:type="spellStart"/>
            <w:r w:rsidR="000410EA">
              <w:rPr>
                <w:sz w:val="28"/>
                <w:szCs w:val="28"/>
              </w:rPr>
              <w:t>solicitările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parvenite</w:t>
            </w:r>
            <w:proofErr w:type="spellEnd"/>
            <w:r w:rsidR="000410EA">
              <w:rPr>
                <w:sz w:val="28"/>
                <w:szCs w:val="28"/>
              </w:rPr>
              <w:t xml:space="preserve"> de la </w:t>
            </w:r>
            <w:proofErr w:type="spellStart"/>
            <w:r w:rsidR="000410EA">
              <w:rPr>
                <w:sz w:val="28"/>
                <w:szCs w:val="28"/>
              </w:rPr>
              <w:t>autorități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publice</w:t>
            </w:r>
            <w:proofErr w:type="spellEnd"/>
            <w:r w:rsidR="000410EA">
              <w:rPr>
                <w:sz w:val="28"/>
                <w:szCs w:val="28"/>
              </w:rPr>
              <w:t xml:space="preserve"> și </w:t>
            </w:r>
            <w:proofErr w:type="spellStart"/>
            <w:r w:rsidR="000410EA">
              <w:rPr>
                <w:sz w:val="28"/>
                <w:szCs w:val="28"/>
              </w:rPr>
              <w:t>resursele</w:t>
            </w:r>
            <w:proofErr w:type="spellEnd"/>
            <w:r w:rsidR="000410EA">
              <w:rPr>
                <w:sz w:val="28"/>
                <w:szCs w:val="28"/>
              </w:rPr>
              <w:t xml:space="preserve"> </w:t>
            </w:r>
            <w:proofErr w:type="spellStart"/>
            <w:r w:rsidR="000410EA">
              <w:rPr>
                <w:sz w:val="28"/>
                <w:szCs w:val="28"/>
              </w:rPr>
              <w:t>disponibile</w:t>
            </w:r>
            <w:proofErr w:type="spellEnd"/>
            <w:r w:rsidR="000410EA">
              <w:rPr>
                <w:sz w:val="28"/>
                <w:szCs w:val="28"/>
              </w:rPr>
              <w:t xml:space="preserve"> în </w:t>
            </w:r>
            <w:proofErr w:type="spellStart"/>
            <w:r w:rsidR="000410EA">
              <w:rPr>
                <w:sz w:val="28"/>
                <w:szCs w:val="28"/>
              </w:rPr>
              <w:t>buget</w:t>
            </w:r>
            <w:proofErr w:type="spellEnd"/>
            <w:r w:rsidR="000410EA">
              <w:rPr>
                <w:sz w:val="28"/>
                <w:szCs w:val="28"/>
              </w:rPr>
              <w:t>.</w:t>
            </w:r>
          </w:p>
        </w:tc>
      </w:tr>
      <w:tr w:rsidR="000410EA" w:rsidRPr="00C77535" w:rsidTr="00397697">
        <w:tc>
          <w:tcPr>
            <w:tcW w:w="5000" w:type="pct"/>
            <w:shd w:val="clear" w:color="auto" w:fill="D9D9D9"/>
            <w:hideMark/>
          </w:tcPr>
          <w:p w:rsidR="000410EA" w:rsidRDefault="000410EA" w:rsidP="000410EA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firstLine="89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Avizarea</w:t>
            </w:r>
            <w:proofErr w:type="spellEnd"/>
            <w:r>
              <w:rPr>
                <w:b/>
                <w:sz w:val="28"/>
                <w:szCs w:val="28"/>
              </w:rPr>
              <w:t xml:space="preserve"> și </w:t>
            </w:r>
            <w:proofErr w:type="spellStart"/>
            <w:r>
              <w:rPr>
                <w:b/>
                <w:sz w:val="28"/>
                <w:szCs w:val="28"/>
              </w:rPr>
              <w:t>consultarea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publică</w:t>
            </w:r>
            <w:proofErr w:type="spellEnd"/>
            <w:r>
              <w:rPr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0410EA" w:rsidRPr="00C77535" w:rsidTr="00397697">
        <w:trPr>
          <w:trHeight w:val="3741"/>
        </w:trPr>
        <w:tc>
          <w:tcPr>
            <w:tcW w:w="5000" w:type="pct"/>
          </w:tcPr>
          <w:p w:rsidR="000410EA" w:rsidRDefault="000410EA" w:rsidP="00397697">
            <w:pPr>
              <w:spacing w:line="276" w:lineRule="auto"/>
              <w:ind w:firstLine="604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 xml:space="preserve">În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scopul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respectării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prevederilor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Legii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nr. 239 din 13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noiembrie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2008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privind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transparența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în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procesul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decizional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proiectul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hotărîrii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Guvernului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„Pentru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aprobarea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Regulamentului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privind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modul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Batang"/>
                <w:bCs/>
                <w:sz w:val="28"/>
                <w:szCs w:val="28"/>
                <w:lang w:eastAsia="ru-RU"/>
              </w:rPr>
              <w:br/>
              <w:t xml:space="preserve">de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acordare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din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bugetul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a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compensațiilor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>salariaților</w:t>
            </w:r>
            <w:proofErr w:type="spellEnd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din </w:t>
            </w:r>
            <w:proofErr w:type="spellStart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>sectorul</w:t>
            </w:r>
            <w:proofErr w:type="spellEnd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>privat</w:t>
            </w:r>
            <w:proofErr w:type="spellEnd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 xml:space="preserve"> al </w:t>
            </w:r>
            <w:proofErr w:type="spellStart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>economiei</w:t>
            </w:r>
            <w:proofErr w:type="spellEnd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>participanți</w:t>
            </w:r>
            <w:proofErr w:type="spellEnd"/>
            <w:r w:rsidR="009C7C70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la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Programul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„Prima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casă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>””</w:t>
            </w:r>
            <w:r>
              <w:rPr>
                <w:rFonts w:eastAsia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fost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plasat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pagina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oficială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Ministerului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Finanțelor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(</w:t>
            </w:r>
            <w:hyperlink r:id="rId6" w:history="1">
              <w:r>
                <w:rPr>
                  <w:rStyle w:val="Hyperlink"/>
                  <w:rFonts w:eastAsiaTheme="minorHAnsi"/>
                </w:rPr>
                <w:t>www.mf.gov.md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), în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compartimentul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Transparenţa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decizională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”. </w:t>
            </w:r>
          </w:p>
          <w:p w:rsidR="009C7C70" w:rsidRPr="00FA2B14" w:rsidRDefault="009C7C70" w:rsidP="009C7C70">
            <w:pPr>
              <w:ind w:firstLine="878"/>
              <w:rPr>
                <w:rFonts w:eastAsiaTheme="minorHAnsi"/>
                <w:sz w:val="28"/>
                <w:szCs w:val="28"/>
              </w:rPr>
            </w:pP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Proiectul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se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remite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spre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avizare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autorităților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și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instituțiilor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interesate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precum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şi se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va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prezenta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pentru a fi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supus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expertizei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juridice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 xml:space="preserve"> și </w:t>
            </w:r>
            <w:proofErr w:type="spellStart"/>
            <w:r w:rsidRPr="00FA2B14">
              <w:rPr>
                <w:rFonts w:eastAsiaTheme="minorHAnsi"/>
                <w:sz w:val="28"/>
                <w:szCs w:val="28"/>
              </w:rPr>
              <w:t>anticorupţie</w:t>
            </w:r>
            <w:proofErr w:type="spellEnd"/>
            <w:r w:rsidRPr="00FA2B14">
              <w:rPr>
                <w:rFonts w:eastAsiaTheme="minorHAnsi"/>
                <w:sz w:val="28"/>
                <w:szCs w:val="28"/>
              </w:rPr>
              <w:t>.</w:t>
            </w:r>
          </w:p>
          <w:p w:rsidR="009C7C70" w:rsidRDefault="009C7C70" w:rsidP="00397697">
            <w:pPr>
              <w:spacing w:line="276" w:lineRule="auto"/>
              <w:ind w:firstLine="604"/>
              <w:rPr>
                <w:rFonts w:eastAsiaTheme="minorHAnsi"/>
                <w:sz w:val="28"/>
                <w:szCs w:val="28"/>
              </w:rPr>
            </w:pPr>
          </w:p>
          <w:p w:rsidR="000410EA" w:rsidRDefault="000410EA" w:rsidP="0039769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410EA" w:rsidRDefault="000410EA" w:rsidP="0039769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410EA" w:rsidRDefault="000410EA" w:rsidP="009C7C70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MINISTRU                                                   </w:t>
            </w:r>
            <w:r w:rsidR="009C7C70">
              <w:rPr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C7C70">
              <w:rPr>
                <w:b/>
                <w:sz w:val="28"/>
                <w:szCs w:val="28"/>
              </w:rPr>
              <w:t>Ion CHICU</w:t>
            </w:r>
          </w:p>
        </w:tc>
      </w:tr>
    </w:tbl>
    <w:p w:rsidR="00134671" w:rsidRDefault="00134671" w:rsidP="009C7C70">
      <w:pPr>
        <w:ind w:firstLine="0"/>
      </w:pPr>
    </w:p>
    <w:sectPr w:rsidR="00134671" w:rsidSect="009C7C70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EA"/>
    <w:rsid w:val="000410EA"/>
    <w:rsid w:val="000A6E0D"/>
    <w:rsid w:val="00130F55"/>
    <w:rsid w:val="00134671"/>
    <w:rsid w:val="00547DE4"/>
    <w:rsid w:val="006C131D"/>
    <w:rsid w:val="00916A79"/>
    <w:rsid w:val="009C7C70"/>
    <w:rsid w:val="00E66EE8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EA"/>
    <w:pPr>
      <w:ind w:left="720"/>
      <w:contextualSpacing/>
    </w:pPr>
  </w:style>
  <w:style w:type="paragraph" w:styleId="NoSpacing">
    <w:name w:val="No Spacing"/>
    <w:uiPriority w:val="1"/>
    <w:qFormat/>
    <w:rsid w:val="000410EA"/>
    <w:pPr>
      <w:spacing w:after="0" w:line="240" w:lineRule="auto"/>
    </w:pPr>
  </w:style>
  <w:style w:type="character" w:styleId="Hyperlink">
    <w:name w:val="Hyperlink"/>
    <w:uiPriority w:val="99"/>
    <w:rsid w:val="00041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EA"/>
    <w:pPr>
      <w:ind w:left="720"/>
      <w:contextualSpacing/>
    </w:pPr>
  </w:style>
  <w:style w:type="paragraph" w:styleId="NoSpacing">
    <w:name w:val="No Spacing"/>
    <w:uiPriority w:val="1"/>
    <w:qFormat/>
    <w:rsid w:val="000410EA"/>
    <w:pPr>
      <w:spacing w:after="0" w:line="240" w:lineRule="auto"/>
    </w:pPr>
  </w:style>
  <w:style w:type="character" w:styleId="Hyperlink">
    <w:name w:val="Hyperlink"/>
    <w:uiPriority w:val="99"/>
    <w:rsid w:val="00041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dariiina11</dc:creator>
  <cp:lastModifiedBy>dariiina11</cp:lastModifiedBy>
  <cp:revision>4</cp:revision>
  <cp:lastPrinted>2019-04-23T13:40:00Z</cp:lastPrinted>
  <dcterms:created xsi:type="dcterms:W3CDTF">2019-04-23T12:46:00Z</dcterms:created>
  <dcterms:modified xsi:type="dcterms:W3CDTF">2019-04-24T05:24:00Z</dcterms:modified>
</cp:coreProperties>
</file>