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BD" w:rsidRPr="00EA6B47" w:rsidRDefault="00904454" w:rsidP="00D5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</w:t>
      </w:r>
      <w:r w:rsidR="00D22FE7" w:rsidRPr="00EA6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803">
        <w:rPr>
          <w:rFonts w:ascii="Times New Roman" w:hAnsi="Times New Roman" w:cs="Times New Roman"/>
          <w:b/>
          <w:sz w:val="28"/>
          <w:szCs w:val="28"/>
        </w:rPr>
        <w:t>de fundamentare</w:t>
      </w:r>
    </w:p>
    <w:p w:rsidR="005F64CB" w:rsidRPr="00EA6B47" w:rsidRDefault="00F64C86" w:rsidP="001E6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47">
        <w:rPr>
          <w:rFonts w:ascii="Times New Roman" w:hAnsi="Times New Roman" w:cs="Times New Roman"/>
          <w:b/>
          <w:sz w:val="28"/>
          <w:szCs w:val="28"/>
        </w:rPr>
        <w:t xml:space="preserve">la proiectul </w:t>
      </w:r>
      <w:r w:rsidR="0051146B" w:rsidRPr="00EA6B47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1B6D9B" w:rsidRPr="00EA6B47">
        <w:rPr>
          <w:rFonts w:ascii="Times New Roman" w:hAnsi="Times New Roman" w:cs="Times New Roman"/>
          <w:b/>
          <w:sz w:val="28"/>
          <w:szCs w:val="28"/>
        </w:rPr>
        <w:t>O</w:t>
      </w:r>
      <w:r w:rsidR="005F64CB" w:rsidRPr="00EA6B47">
        <w:rPr>
          <w:rFonts w:ascii="Times New Roman" w:hAnsi="Times New Roman" w:cs="Times New Roman"/>
          <w:b/>
          <w:sz w:val="28"/>
          <w:szCs w:val="28"/>
        </w:rPr>
        <w:t xml:space="preserve">rdin al Ministrului </w:t>
      </w:r>
      <w:r w:rsidR="001B6D9B" w:rsidRPr="00EA6B47">
        <w:rPr>
          <w:rFonts w:ascii="Times New Roman" w:hAnsi="Times New Roman" w:cs="Times New Roman"/>
          <w:b/>
          <w:sz w:val="28"/>
          <w:szCs w:val="28"/>
        </w:rPr>
        <w:t>F</w:t>
      </w:r>
      <w:r w:rsidR="005F64CB" w:rsidRPr="00EA6B47">
        <w:rPr>
          <w:rFonts w:ascii="Times New Roman" w:hAnsi="Times New Roman" w:cs="Times New Roman"/>
          <w:b/>
          <w:sz w:val="28"/>
          <w:szCs w:val="28"/>
        </w:rPr>
        <w:t xml:space="preserve">inanțelor </w:t>
      </w:r>
      <w:r w:rsidR="003C794F">
        <w:rPr>
          <w:rFonts w:ascii="Times New Roman" w:hAnsi="Times New Roman" w:cs="Times New Roman"/>
          <w:b/>
          <w:sz w:val="28"/>
          <w:szCs w:val="28"/>
        </w:rPr>
        <w:t>c</w:t>
      </w:r>
      <w:r w:rsidR="001E6A5E">
        <w:rPr>
          <w:rFonts w:ascii="Times New Roman" w:hAnsi="Times New Roman" w:cs="Times New Roman"/>
          <w:b/>
          <w:sz w:val="28"/>
          <w:szCs w:val="28"/>
        </w:rPr>
        <w:t xml:space="preserve">u privire la aprobarea modificărilor </w:t>
      </w:r>
      <w:r w:rsidR="001E6A5E" w:rsidRPr="001E6A5E">
        <w:rPr>
          <w:rFonts w:ascii="Times New Roman" w:hAnsi="Times New Roman" w:cs="Times New Roman"/>
          <w:b/>
          <w:sz w:val="28"/>
          <w:szCs w:val="28"/>
        </w:rPr>
        <w:t>la Ordinul Ministrului Finanțelor nr. 60/2012</w:t>
      </w:r>
    </w:p>
    <w:p w:rsidR="00A30E10" w:rsidRPr="00EA6B47" w:rsidRDefault="00A30E10" w:rsidP="005F6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gril"/>
        <w:tblW w:w="9527" w:type="dxa"/>
        <w:tblInd w:w="-176" w:type="dxa"/>
        <w:tblLook w:val="04A0" w:firstRow="1" w:lastRow="0" w:firstColumn="1" w:lastColumn="0" w:noHBand="0" w:noVBand="1"/>
      </w:tblPr>
      <w:tblGrid>
        <w:gridCol w:w="9527"/>
      </w:tblGrid>
      <w:tr w:rsidR="00F64C86" w:rsidRPr="00EA6B47" w:rsidTr="006B74A9">
        <w:tc>
          <w:tcPr>
            <w:tcW w:w="9527" w:type="dxa"/>
          </w:tcPr>
          <w:p w:rsidR="00F64C86" w:rsidRPr="00483716" w:rsidRDefault="000F3002" w:rsidP="001223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C7458"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Denumirea sau numele autorului </w:t>
            </w:r>
            <w:proofErr w:type="spellStart"/>
            <w:r w:rsidR="00DC7458"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="00DC7458"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după caz, a/al </w:t>
            </w:r>
            <w:proofErr w:type="spellStart"/>
            <w:r w:rsidR="00DC7458"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>participanţilor</w:t>
            </w:r>
            <w:proofErr w:type="spellEnd"/>
            <w:r w:rsidR="00DC7458"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 elaborarea proiectului actului normativ</w:t>
            </w:r>
          </w:p>
        </w:tc>
      </w:tr>
      <w:tr w:rsidR="00F64C86" w:rsidRPr="00EA6B47" w:rsidTr="006B74A9">
        <w:tc>
          <w:tcPr>
            <w:tcW w:w="9527" w:type="dxa"/>
          </w:tcPr>
          <w:p w:rsidR="00F64C86" w:rsidRPr="001A1991" w:rsidRDefault="00EB3016" w:rsidP="00CB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991">
              <w:rPr>
                <w:rFonts w:ascii="Times New Roman" w:hAnsi="Times New Roman" w:cs="Times New Roman"/>
                <w:sz w:val="28"/>
                <w:szCs w:val="28"/>
              </w:rPr>
              <w:t>Ministerul Finanțelor</w:t>
            </w:r>
            <w:r w:rsidR="00A7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4C86" w:rsidRPr="00EA6B47" w:rsidTr="006B74A9">
        <w:tc>
          <w:tcPr>
            <w:tcW w:w="9527" w:type="dxa"/>
          </w:tcPr>
          <w:p w:rsidR="00F64C86" w:rsidRPr="00483716" w:rsidRDefault="005F5A04" w:rsidP="00122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1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C7458" w:rsidRPr="00483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C7458" w:rsidRPr="00483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Condiţiile</w:t>
            </w:r>
            <w:proofErr w:type="spellEnd"/>
            <w:r w:rsidR="00DC7458" w:rsidRPr="00483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ce au impus elaborarea proiectului actului normativ</w:t>
            </w:r>
          </w:p>
        </w:tc>
      </w:tr>
      <w:tr w:rsidR="00F64C86" w:rsidRPr="00EA6B47" w:rsidTr="00ED0935">
        <w:trPr>
          <w:trHeight w:val="285"/>
        </w:trPr>
        <w:tc>
          <w:tcPr>
            <w:tcW w:w="9527" w:type="dxa"/>
          </w:tcPr>
          <w:p w:rsidR="00DC7458" w:rsidRPr="000F7A48" w:rsidRDefault="00DC7458" w:rsidP="00122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2.1</w:t>
            </w:r>
            <w:r w:rsidR="00CB16A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Temeiul legal sau, după caz, sursa proiectului actului normativ</w:t>
            </w:r>
          </w:p>
        </w:tc>
      </w:tr>
      <w:tr w:rsidR="00ED0935" w:rsidRPr="00EA6B47" w:rsidTr="00B02FF2">
        <w:trPr>
          <w:trHeight w:val="1306"/>
        </w:trPr>
        <w:tc>
          <w:tcPr>
            <w:tcW w:w="9527" w:type="dxa"/>
          </w:tcPr>
          <w:p w:rsidR="00ED0935" w:rsidRPr="00ED0935" w:rsidRDefault="00ED0935" w:rsidP="00B02F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Proiectul ordinului </w:t>
            </w:r>
            <w:r w:rsidR="00B02FF2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 fost</w:t>
            </w:r>
            <w:r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elaborat </w:t>
            </w:r>
            <w:r w:rsid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</w:t>
            </w:r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n temeiul art.8 alin.(1) </w:t>
            </w:r>
            <w:proofErr w:type="spellStart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lit.b</w:t>
            </w:r>
            <w:proofErr w:type="spellEnd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) al Legii </w:t>
            </w:r>
            <w:proofErr w:type="spellStart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contabilităţii</w:t>
            </w:r>
            <w:proofErr w:type="spellEnd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proofErr w:type="spellStart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raportării financiare nr.287/</w:t>
            </w:r>
            <w:r w:rsidR="00B02FF2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2017</w:t>
            </w:r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proofErr w:type="spellStart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al pct.9 subpct.11) din Regulamentul cu privire la organizarea </w:t>
            </w:r>
            <w:proofErr w:type="spellStart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proofErr w:type="spellStart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funcţionarea</w:t>
            </w:r>
            <w:proofErr w:type="spellEnd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Ministerului </w:t>
            </w:r>
            <w:proofErr w:type="spellStart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Finanţelor</w:t>
            </w:r>
            <w:proofErr w:type="spellEnd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, aprobat prin Hotărârea Guvernului nr.696/2017</w:t>
            </w:r>
            <w:r w:rsidR="00B02FF2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</w:p>
        </w:tc>
      </w:tr>
      <w:tr w:rsidR="00ED0935" w:rsidRPr="00EA6B47" w:rsidTr="00ED0935">
        <w:trPr>
          <w:trHeight w:val="671"/>
        </w:trPr>
        <w:tc>
          <w:tcPr>
            <w:tcW w:w="9527" w:type="dxa"/>
          </w:tcPr>
          <w:p w:rsidR="00ED0935" w:rsidRPr="000F7A48" w:rsidRDefault="00ED0935" w:rsidP="00ED0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2.2</w:t>
            </w:r>
            <w:r w:rsidR="00CB16A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Descrierea </w:t>
            </w:r>
            <w:proofErr w:type="spellStart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situaţiei</w:t>
            </w:r>
            <w:proofErr w:type="spellEnd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actuale </w:t>
            </w:r>
            <w:proofErr w:type="spellStart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şi</w:t>
            </w:r>
            <w:proofErr w:type="spellEnd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 problemelor care impun </w:t>
            </w:r>
            <w:proofErr w:type="spellStart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intervenţia</w:t>
            </w:r>
            <w:proofErr w:type="spellEnd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inclusiv a cadrului normativ aplicabil </w:t>
            </w:r>
            <w:proofErr w:type="spellStart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şi</w:t>
            </w:r>
            <w:proofErr w:type="spellEnd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 </w:t>
            </w:r>
            <w:proofErr w:type="spellStart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deficienţelor</w:t>
            </w:r>
            <w:proofErr w:type="spellEnd"/>
            <w:r w:rsidRPr="00ED0935">
              <w:rPr>
                <w:rFonts w:ascii="Times New Roman" w:hAnsi="Times New Roman" w:cs="Times New Roman"/>
                <w:i/>
                <w:sz w:val="28"/>
                <w:szCs w:val="28"/>
              </w:rPr>
              <w:t>/lacunelor normative</w:t>
            </w:r>
          </w:p>
        </w:tc>
      </w:tr>
      <w:tr w:rsidR="00ED0935" w:rsidRPr="00EA6B47" w:rsidTr="00EF702D">
        <w:trPr>
          <w:trHeight w:val="738"/>
        </w:trPr>
        <w:tc>
          <w:tcPr>
            <w:tcW w:w="9527" w:type="dxa"/>
          </w:tcPr>
          <w:p w:rsidR="00ED0935" w:rsidRPr="000F7A48" w:rsidRDefault="00B02FF2" w:rsidP="003C7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</w:t>
            </w:r>
            <w:r w:rsidR="00ED0935"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ro</w:t>
            </w:r>
            <w:r w:rsidR="0090445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iectului 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actului </w:t>
            </w:r>
            <w:r w:rsidR="0090445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normativ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 fost elaborat în scopul</w:t>
            </w:r>
            <w:r w:rsidR="0090445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realizării </w:t>
            </w:r>
            <w:proofErr w:type="spellStart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acţiunilor</w:t>
            </w:r>
            <w:proofErr w:type="spellEnd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pentru dezvoltarea </w:t>
            </w:r>
            <w:proofErr w:type="spellStart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şi</w:t>
            </w:r>
            <w:proofErr w:type="spellEnd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proofErr w:type="spellStart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perfecţionarea</w:t>
            </w:r>
            <w:proofErr w:type="spellEnd"/>
            <w:r w:rsidR="003C794F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continuă</w:t>
            </w:r>
            <w:r w:rsidR="003C794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a</w:t>
            </w:r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proofErr w:type="spellStart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contabilităţii</w:t>
            </w:r>
            <w:proofErr w:type="spellEnd"/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și raportării financiare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</w:p>
        </w:tc>
      </w:tr>
      <w:tr w:rsidR="00F64C86" w:rsidRPr="00EA6B47" w:rsidTr="006B74A9">
        <w:tc>
          <w:tcPr>
            <w:tcW w:w="9527" w:type="dxa"/>
          </w:tcPr>
          <w:p w:rsidR="00F64C86" w:rsidRPr="001A1991" w:rsidRDefault="00C97F7C" w:rsidP="00122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E6BC3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7458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Obiectivele urmărite </w:t>
            </w:r>
            <w:proofErr w:type="spellStart"/>
            <w:r w:rsidR="00DC7458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="00DC7458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C7458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soluţiile</w:t>
            </w:r>
            <w:proofErr w:type="spellEnd"/>
            <w:r w:rsidR="00DC7458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propuse</w:t>
            </w:r>
          </w:p>
        </w:tc>
      </w:tr>
      <w:tr w:rsidR="00F64C86" w:rsidRPr="00EA6B47" w:rsidTr="00A76463">
        <w:trPr>
          <w:trHeight w:val="699"/>
        </w:trPr>
        <w:tc>
          <w:tcPr>
            <w:tcW w:w="9527" w:type="dxa"/>
          </w:tcPr>
          <w:p w:rsidR="004F35FB" w:rsidRDefault="00607DA5" w:rsidP="00A75B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Proiectul actului normativ prevede</w:t>
            </w:r>
            <w:r w:rsidR="00F6448A"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7966F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modific</w:t>
            </w:r>
            <w:r w:rsidR="00EE2CD6"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area</w:t>
            </w:r>
            <w:r w:rsidR="00560317" w:rsidRPr="000F7A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Ord</w:t>
            </w:r>
            <w:r w:rsidR="00F16193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inul</w:t>
            </w:r>
            <w:r w:rsidR="003C794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ui</w:t>
            </w:r>
            <w:r w:rsidR="00F16193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Ministrului Finanțelor nr.</w:t>
            </w:r>
            <w:r w:rsidR="001E6A5E" w:rsidRPr="001E6A5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60/2012</w:t>
            </w:r>
            <w:r w:rsidR="00B02FF2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, prin:</w:t>
            </w:r>
          </w:p>
          <w:p w:rsidR="00DB46B8" w:rsidRDefault="00DB46B8" w:rsidP="00B02FF2">
            <w:pPr>
              <w:pStyle w:val="Listparagraf"/>
              <w:numPr>
                <w:ilvl w:val="0"/>
                <w:numId w:val="3"/>
              </w:numPr>
              <w:tabs>
                <w:tab w:val="left" w:pos="34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simplificarea procedurilor utilizate în procesul de efectuare a inventarierii;</w:t>
            </w:r>
          </w:p>
          <w:p w:rsidR="00DB46B8" w:rsidRDefault="00DB46B8" w:rsidP="00B02FF2">
            <w:pPr>
              <w:pStyle w:val="Listparagraf"/>
              <w:numPr>
                <w:ilvl w:val="0"/>
                <w:numId w:val="3"/>
              </w:numPr>
              <w:tabs>
                <w:tab w:val="left" w:pos="34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excluderea barierelor în utilizarea mijloacelor electronice în procesul efectuării inventarierii;</w:t>
            </w:r>
          </w:p>
          <w:p w:rsidR="008920D1" w:rsidRDefault="007966F6" w:rsidP="00DB46B8">
            <w:pPr>
              <w:pStyle w:val="Listparagraf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</w:t>
            </w:r>
            <w:r w:rsidR="008920D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implificarea </w:t>
            </w:r>
            <w:r w:rsidR="003C794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prezentării, î</w:t>
            </w:r>
            <w:r w:rsidR="008920D1" w:rsidRPr="008920D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 nota explicativă la situațiile financiare</w:t>
            </w:r>
            <w:r w:rsidR="003C794F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,</w:t>
            </w:r>
            <w:r w:rsidR="008920D1" w:rsidRPr="008920D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DB46B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 informațiilor privind rezultatele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inventarierii</w:t>
            </w:r>
            <w:r w:rsidR="00DB46B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;</w:t>
            </w:r>
          </w:p>
          <w:p w:rsidR="00DB46B8" w:rsidRDefault="00DB46B8" w:rsidP="00DB46B8">
            <w:pPr>
              <w:pStyle w:val="Listparagraf"/>
              <w:numPr>
                <w:ilvl w:val="0"/>
                <w:numId w:val="3"/>
              </w:numPr>
              <w:tabs>
                <w:tab w:val="left" w:pos="34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ajustarea termenilor și noțiunilor utilizate în Regulamentul privind inventarierea conform Standardelor Naționale de Contabilitate;</w:t>
            </w:r>
          </w:p>
          <w:p w:rsidR="00DB46B8" w:rsidRPr="00B02FF2" w:rsidRDefault="00DB46B8" w:rsidP="00DB46B8">
            <w:pPr>
              <w:pStyle w:val="Listparagraf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actualizarea actelor normative la care se face referință în Regulament.</w:t>
            </w:r>
          </w:p>
        </w:tc>
      </w:tr>
      <w:tr w:rsidR="00F64C86" w:rsidRPr="00EA6B47" w:rsidTr="006B74A9">
        <w:tc>
          <w:tcPr>
            <w:tcW w:w="9527" w:type="dxa"/>
          </w:tcPr>
          <w:p w:rsidR="00F64C86" w:rsidRPr="001A1991" w:rsidRDefault="002A199F" w:rsidP="00122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DC7458" w:rsidRPr="001A1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458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Ana</w:t>
            </w:r>
            <w:r w:rsidR="00C83B4D"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liza impactului de reglementare</w:t>
            </w:r>
          </w:p>
        </w:tc>
      </w:tr>
      <w:tr w:rsidR="00A76463" w:rsidRPr="00EA6B47" w:rsidTr="006B74A9">
        <w:tc>
          <w:tcPr>
            <w:tcW w:w="9527" w:type="dxa"/>
          </w:tcPr>
          <w:p w:rsidR="00A76463" w:rsidRPr="000F7A48" w:rsidRDefault="00EF702D" w:rsidP="001E5E66">
            <w:pPr>
              <w:pStyle w:val="NormalWeb"/>
              <w:ind w:firstLine="0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 w:rsidR="008920D1">
              <w:rPr>
                <w:sz w:val="28"/>
                <w:szCs w:val="28"/>
                <w:lang w:val="ro-RO"/>
              </w:rPr>
              <w:t>odificările propuse la</w:t>
            </w:r>
            <w:r w:rsidR="008920D1" w:rsidRPr="008920D1">
              <w:rPr>
                <w:sz w:val="28"/>
                <w:szCs w:val="28"/>
                <w:lang w:val="ro-RO"/>
              </w:rPr>
              <w:t xml:space="preserve"> Ordinul Ministrului Finanțelor nr. 60/2012</w:t>
            </w:r>
            <w:r w:rsidR="00F16193">
              <w:rPr>
                <w:sz w:val="28"/>
                <w:szCs w:val="28"/>
                <w:lang w:val="ro-RO"/>
              </w:rPr>
              <w:t xml:space="preserve"> </w:t>
            </w:r>
            <w:r w:rsidR="008920D1" w:rsidRPr="008920D1">
              <w:rPr>
                <w:sz w:val="28"/>
                <w:szCs w:val="28"/>
                <w:lang w:val="ro-RO"/>
              </w:rPr>
              <w:t>au un impact semnificativ asupra sectorului privat</w:t>
            </w:r>
            <w:r w:rsidR="00F16193">
              <w:rPr>
                <w:sz w:val="28"/>
                <w:szCs w:val="28"/>
                <w:lang w:val="ro-RO"/>
              </w:rPr>
              <w:t xml:space="preserve"> și public</w:t>
            </w:r>
            <w:r w:rsidR="008920D1" w:rsidRPr="008920D1">
              <w:rPr>
                <w:sz w:val="28"/>
                <w:szCs w:val="28"/>
                <w:lang w:val="ro-RO"/>
              </w:rPr>
              <w:t xml:space="preserve">. Aceste modificări vin să clarifice și să simplifice </w:t>
            </w:r>
            <w:r w:rsidR="00F16193">
              <w:rPr>
                <w:sz w:val="28"/>
                <w:szCs w:val="28"/>
                <w:lang w:val="ro-RO"/>
              </w:rPr>
              <w:t>anumite proceduri</w:t>
            </w:r>
            <w:r w:rsidR="008920D1" w:rsidRPr="008920D1">
              <w:rPr>
                <w:sz w:val="28"/>
                <w:szCs w:val="28"/>
                <w:lang w:val="ro-RO"/>
              </w:rPr>
              <w:t xml:space="preserve">, reducând astfel povara birocratică și </w:t>
            </w:r>
            <w:r w:rsidR="00F16193">
              <w:rPr>
                <w:sz w:val="28"/>
                <w:szCs w:val="28"/>
                <w:lang w:val="ro-RO"/>
              </w:rPr>
              <w:t xml:space="preserve">oferind mai multă </w:t>
            </w:r>
            <w:r w:rsidR="001E5E66">
              <w:rPr>
                <w:sz w:val="28"/>
                <w:szCs w:val="28"/>
                <w:lang w:val="ro-RO"/>
              </w:rPr>
              <w:t>flexibilitate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 w:rsidR="007966F6">
              <w:rPr>
                <w:sz w:val="28"/>
                <w:szCs w:val="28"/>
                <w:lang w:val="ro-RO"/>
              </w:rPr>
              <w:t>î</w:t>
            </w:r>
            <w:r w:rsidR="003C794F">
              <w:rPr>
                <w:sz w:val="28"/>
                <w:szCs w:val="28"/>
                <w:lang w:val="ro-RO"/>
              </w:rPr>
              <w:t>n procesul efectu</w:t>
            </w:r>
            <w:r w:rsidR="00F16193">
              <w:rPr>
                <w:sz w:val="28"/>
                <w:szCs w:val="28"/>
                <w:lang w:val="ro-RO"/>
              </w:rPr>
              <w:t>ă</w:t>
            </w:r>
            <w:r w:rsidR="003C794F">
              <w:rPr>
                <w:sz w:val="28"/>
                <w:szCs w:val="28"/>
                <w:lang w:val="ro-RO"/>
              </w:rPr>
              <w:t>rii</w:t>
            </w:r>
            <w:r w:rsidR="007966F6">
              <w:rPr>
                <w:sz w:val="28"/>
                <w:szCs w:val="28"/>
                <w:lang w:val="ro-RO"/>
              </w:rPr>
              <w:t xml:space="preserve"> </w:t>
            </w:r>
            <w:r w:rsidR="00F16193">
              <w:rPr>
                <w:sz w:val="28"/>
                <w:szCs w:val="28"/>
                <w:lang w:val="ro-RO"/>
              </w:rPr>
              <w:t>inventarier</w:t>
            </w:r>
            <w:r w:rsidR="003C794F">
              <w:rPr>
                <w:sz w:val="28"/>
                <w:szCs w:val="28"/>
                <w:lang w:val="ro-RO"/>
              </w:rPr>
              <w:t>ii</w:t>
            </w:r>
            <w:r w:rsidR="008920D1" w:rsidRPr="008920D1">
              <w:rPr>
                <w:sz w:val="28"/>
                <w:szCs w:val="28"/>
                <w:lang w:val="ro-RO"/>
              </w:rPr>
              <w:t>.</w:t>
            </w:r>
          </w:p>
        </w:tc>
      </w:tr>
      <w:tr w:rsidR="00A76463" w:rsidRPr="00EA6B47" w:rsidTr="006B74A9">
        <w:tc>
          <w:tcPr>
            <w:tcW w:w="9527" w:type="dxa"/>
          </w:tcPr>
          <w:p w:rsidR="00A76463" w:rsidRPr="001A1991" w:rsidRDefault="00A76463" w:rsidP="00A76463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Compatibilitatea proiectului actului normativ cu </w:t>
            </w:r>
            <w:proofErr w:type="spellStart"/>
            <w:r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>legislaţia</w:t>
            </w:r>
            <w:proofErr w:type="spellEnd"/>
            <w:r w:rsidRPr="001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UE</w:t>
            </w:r>
          </w:p>
        </w:tc>
      </w:tr>
      <w:tr w:rsidR="00A76463" w:rsidRPr="00EA6B47" w:rsidTr="006B74A9">
        <w:tc>
          <w:tcPr>
            <w:tcW w:w="9527" w:type="dxa"/>
          </w:tcPr>
          <w:p w:rsidR="00A76463" w:rsidRPr="00483716" w:rsidRDefault="00A76463" w:rsidP="00A7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716">
              <w:rPr>
                <w:rFonts w:ascii="Times New Roman" w:hAnsi="Times New Roman" w:cs="Times New Roman"/>
                <w:sz w:val="28"/>
                <w:szCs w:val="28"/>
              </w:rPr>
              <w:t>Proiectul ordinului în cauză nu are drept scop armonizarea legislației naționale cu legislația Uniunii Europene.</w:t>
            </w:r>
          </w:p>
        </w:tc>
      </w:tr>
      <w:tr w:rsidR="00A76463" w:rsidRPr="00EA6B47" w:rsidTr="006B74A9">
        <w:tc>
          <w:tcPr>
            <w:tcW w:w="9527" w:type="dxa"/>
          </w:tcPr>
          <w:p w:rsidR="00A76463" w:rsidRPr="001A1991" w:rsidRDefault="00A76463" w:rsidP="00A764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Avizarea </w:t>
            </w:r>
            <w:proofErr w:type="spellStart"/>
            <w:r w:rsidRPr="001A1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şi</w:t>
            </w:r>
            <w:proofErr w:type="spellEnd"/>
            <w:r w:rsidRPr="001A1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consultarea publică a proiectului actului normativ</w:t>
            </w:r>
          </w:p>
        </w:tc>
      </w:tr>
      <w:tr w:rsidR="00A76463" w:rsidRPr="00EA6B47" w:rsidTr="006B74A9">
        <w:tc>
          <w:tcPr>
            <w:tcW w:w="9527" w:type="dxa"/>
          </w:tcPr>
          <w:p w:rsidR="00A76463" w:rsidRPr="001A1991" w:rsidRDefault="00A76463" w:rsidP="00311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Proiectul </w:t>
            </w:r>
            <w:r w:rsidR="00A75BC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urmează a fi</w:t>
            </w: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supus avizării și consultării publice în conformitate cu art.32 din Legea nr.100/2017 cu privire la actele normative, prin expediere părților interesate și prin publicare pe pagina web oficială a Ministerului Finanțelor</w:t>
            </w:r>
            <w:r w:rsidR="00306340"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și pe portalul guvernamental particip.gov.md</w:t>
            </w: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</w:p>
          <w:p w:rsidR="00A76463" w:rsidRDefault="00A76463" w:rsidP="00311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 scopul respectării prevederilor Legii nr.239/2008 privind transparența în procesul decizion</w:t>
            </w:r>
            <w:r w:rsidR="00306340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al, proiectul </w:t>
            </w:r>
            <w:r w:rsidR="00A75BC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de ordin, nota de fundamentare vor fi plasate</w:t>
            </w: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pe pagina web </w:t>
            </w: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 xml:space="preserve">oficială a Ministerului Finanțelor (compartimentul </w:t>
            </w:r>
            <w:r w:rsidRPr="001A1991">
              <w:rPr>
                <w:rFonts w:ascii="Times New Roman" w:hAnsi="Times New Roman" w:cs="Times New Roman"/>
                <w:sz w:val="28"/>
                <w:szCs w:val="28"/>
              </w:rPr>
              <w:t>„Transparența decizională”</w:t>
            </w: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) și pe portalul guvernamental particip.gov.md.</w:t>
            </w:r>
          </w:p>
          <w:p w:rsidR="001E6A5E" w:rsidRPr="00A75BC8" w:rsidRDefault="00311806" w:rsidP="00311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Anunțul de inițiere a proiectului de ordin a fost publicat pe pagina web oficială a Ministerului Finanțelor </w:t>
            </w:r>
            <w:hyperlink r:id="rId6" w:history="1">
              <w:r w:rsidR="001E6A5E" w:rsidRPr="00A75BC8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https://mf.gov.md/ro/content/proiectul-ordinului-ministrului-finan%C8%9Belor-cu-privire-la-modificarea-regulamentului-privind</w:t>
              </w:r>
            </w:hyperlink>
          </w:p>
          <w:p w:rsidR="005C7B15" w:rsidRDefault="00311806" w:rsidP="003118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3118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și pe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platforma particip.gov.md</w:t>
            </w:r>
          </w:p>
          <w:p w:rsidR="00A75BC8" w:rsidRPr="00A75BC8" w:rsidRDefault="00D53107" w:rsidP="005C7B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/>
              </w:rPr>
            </w:pPr>
            <w:hyperlink r:id="rId7" w:history="1">
              <w:r w:rsidR="00A75BC8" w:rsidRPr="00487498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o-MD"/>
                </w:rPr>
                <w:t>https://particip.gov.md/ro/document/stages/proiectul-ordinului-ministrului-finantelor-cu-privire-la-modificarea-regulamentului-privind-inventarierea-aprobat-prin-ordinul-ministrului-finantelor-nr-602012/13704</w:t>
              </w:r>
            </w:hyperlink>
          </w:p>
        </w:tc>
      </w:tr>
      <w:tr w:rsidR="00A76463" w:rsidRPr="00EA6B47" w:rsidTr="006B74A9">
        <w:tc>
          <w:tcPr>
            <w:tcW w:w="9527" w:type="dxa"/>
          </w:tcPr>
          <w:p w:rsidR="00A76463" w:rsidRPr="001A1991" w:rsidRDefault="00BF1F3F" w:rsidP="00A76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  <w:r w:rsidR="00A76463" w:rsidRPr="001A1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Modul de încorporare a actului în cadrul normativ existent</w:t>
            </w:r>
          </w:p>
        </w:tc>
      </w:tr>
      <w:tr w:rsidR="00A76463" w:rsidRPr="00EA6B47" w:rsidTr="006B74A9">
        <w:tc>
          <w:tcPr>
            <w:tcW w:w="9527" w:type="dxa"/>
          </w:tcPr>
          <w:p w:rsidR="00A76463" w:rsidRPr="001A1991" w:rsidRDefault="00A76463" w:rsidP="00A764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1A199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Urmare aprobării proiectului, nu va apărea necesitatea modificării sau abrogării unor acte normative.</w:t>
            </w:r>
          </w:p>
        </w:tc>
      </w:tr>
    </w:tbl>
    <w:p w:rsidR="006B74A9" w:rsidRDefault="006B74A9" w:rsidP="007B49CD">
      <w:pPr>
        <w:spacing w:after="0" w:line="240" w:lineRule="auto"/>
        <w:jc w:val="both"/>
        <w:rPr>
          <w:b/>
          <w:sz w:val="28"/>
          <w:szCs w:val="28"/>
        </w:rPr>
      </w:pPr>
    </w:p>
    <w:p w:rsidR="00F42AEE" w:rsidRPr="00A30E10" w:rsidRDefault="002B43C1" w:rsidP="007B4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10">
        <w:rPr>
          <w:b/>
          <w:sz w:val="28"/>
          <w:szCs w:val="28"/>
        </w:rPr>
        <w:t xml:space="preserve">        </w:t>
      </w:r>
      <w:r w:rsidR="007B49CD" w:rsidRPr="00A30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AEE" w:rsidRPr="00A30E10" w:rsidRDefault="00F42AEE" w:rsidP="007B4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47" w:rsidRPr="00A30E10" w:rsidRDefault="003B103D" w:rsidP="00EA6B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5BC8">
        <w:rPr>
          <w:rFonts w:ascii="Times New Roman" w:hAnsi="Times New Roman" w:cs="Times New Roman"/>
          <w:b/>
          <w:sz w:val="28"/>
          <w:szCs w:val="28"/>
        </w:rPr>
        <w:t>MINISTRU</w:t>
      </w:r>
      <w:r w:rsidR="00A30E1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5310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A30E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5310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5BC8">
        <w:rPr>
          <w:rFonts w:ascii="Times New Roman" w:hAnsi="Times New Roman" w:cs="Times New Roman"/>
          <w:b/>
          <w:sz w:val="28"/>
          <w:szCs w:val="28"/>
        </w:rPr>
        <w:t>Victoria BELOUS</w:t>
      </w:r>
    </w:p>
    <w:sectPr w:rsidR="00ED4747" w:rsidRPr="00A30E10" w:rsidSect="006B74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683"/>
    <w:multiLevelType w:val="hybridMultilevel"/>
    <w:tmpl w:val="ED382E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5E0"/>
    <w:multiLevelType w:val="hybridMultilevel"/>
    <w:tmpl w:val="D3ECA9E8"/>
    <w:lvl w:ilvl="0" w:tplc="C7E29D94">
      <w:start w:val="3"/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716457DC"/>
    <w:multiLevelType w:val="hybridMultilevel"/>
    <w:tmpl w:val="0B66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BD"/>
    <w:rsid w:val="000B52CC"/>
    <w:rsid w:val="000C729D"/>
    <w:rsid w:val="000F3002"/>
    <w:rsid w:val="000F7A48"/>
    <w:rsid w:val="00112273"/>
    <w:rsid w:val="00114891"/>
    <w:rsid w:val="001223C0"/>
    <w:rsid w:val="00126708"/>
    <w:rsid w:val="001477D2"/>
    <w:rsid w:val="001531A1"/>
    <w:rsid w:val="0016443F"/>
    <w:rsid w:val="00180BFF"/>
    <w:rsid w:val="0018246B"/>
    <w:rsid w:val="001851EA"/>
    <w:rsid w:val="001A1991"/>
    <w:rsid w:val="001A304F"/>
    <w:rsid w:val="001A3065"/>
    <w:rsid w:val="001B6D9B"/>
    <w:rsid w:val="001E43D1"/>
    <w:rsid w:val="001E5E66"/>
    <w:rsid w:val="001E6A5E"/>
    <w:rsid w:val="001E733C"/>
    <w:rsid w:val="001E7590"/>
    <w:rsid w:val="001F5080"/>
    <w:rsid w:val="00212574"/>
    <w:rsid w:val="00216FC8"/>
    <w:rsid w:val="00256135"/>
    <w:rsid w:val="00277A43"/>
    <w:rsid w:val="00294191"/>
    <w:rsid w:val="00294FC7"/>
    <w:rsid w:val="002A199F"/>
    <w:rsid w:val="002B1DFB"/>
    <w:rsid w:val="002B43C1"/>
    <w:rsid w:val="002C582F"/>
    <w:rsid w:val="002E346F"/>
    <w:rsid w:val="00306340"/>
    <w:rsid w:val="0031166D"/>
    <w:rsid w:val="00311806"/>
    <w:rsid w:val="0039382D"/>
    <w:rsid w:val="003B103D"/>
    <w:rsid w:val="003B3CC2"/>
    <w:rsid w:val="003C2CE6"/>
    <w:rsid w:val="003C794F"/>
    <w:rsid w:val="003F772A"/>
    <w:rsid w:val="00400FDC"/>
    <w:rsid w:val="004129C1"/>
    <w:rsid w:val="00415638"/>
    <w:rsid w:val="00422703"/>
    <w:rsid w:val="00422B0D"/>
    <w:rsid w:val="00423AF6"/>
    <w:rsid w:val="00434EDF"/>
    <w:rsid w:val="0044577D"/>
    <w:rsid w:val="00465B38"/>
    <w:rsid w:val="00483716"/>
    <w:rsid w:val="004B0BE5"/>
    <w:rsid w:val="004B3A34"/>
    <w:rsid w:val="004B3D60"/>
    <w:rsid w:val="004E0FF1"/>
    <w:rsid w:val="004E38BF"/>
    <w:rsid w:val="004E52A1"/>
    <w:rsid w:val="004F2321"/>
    <w:rsid w:val="004F35FB"/>
    <w:rsid w:val="004F5619"/>
    <w:rsid w:val="00507CBD"/>
    <w:rsid w:val="0051146B"/>
    <w:rsid w:val="0051580B"/>
    <w:rsid w:val="00522E3C"/>
    <w:rsid w:val="00526D11"/>
    <w:rsid w:val="00533EF7"/>
    <w:rsid w:val="00555F1D"/>
    <w:rsid w:val="00560317"/>
    <w:rsid w:val="00563BBC"/>
    <w:rsid w:val="005C7B15"/>
    <w:rsid w:val="005D4115"/>
    <w:rsid w:val="005D692D"/>
    <w:rsid w:val="005E6BC3"/>
    <w:rsid w:val="005F4DC0"/>
    <w:rsid w:val="005F5A04"/>
    <w:rsid w:val="005F64CB"/>
    <w:rsid w:val="005F79C9"/>
    <w:rsid w:val="00607DA5"/>
    <w:rsid w:val="0061089E"/>
    <w:rsid w:val="00613F32"/>
    <w:rsid w:val="0062399B"/>
    <w:rsid w:val="006502CB"/>
    <w:rsid w:val="00655222"/>
    <w:rsid w:val="00696FC0"/>
    <w:rsid w:val="006A3A9B"/>
    <w:rsid w:val="006A74C3"/>
    <w:rsid w:val="006B74A9"/>
    <w:rsid w:val="006C39BF"/>
    <w:rsid w:val="006D38FB"/>
    <w:rsid w:val="006D5142"/>
    <w:rsid w:val="006F5AB3"/>
    <w:rsid w:val="00725B5D"/>
    <w:rsid w:val="00732BCB"/>
    <w:rsid w:val="007428B1"/>
    <w:rsid w:val="00754203"/>
    <w:rsid w:val="00757A83"/>
    <w:rsid w:val="00771D7A"/>
    <w:rsid w:val="00780288"/>
    <w:rsid w:val="00781557"/>
    <w:rsid w:val="00784C8E"/>
    <w:rsid w:val="007966F6"/>
    <w:rsid w:val="00796D06"/>
    <w:rsid w:val="007A7FB3"/>
    <w:rsid w:val="007B49CD"/>
    <w:rsid w:val="007B7712"/>
    <w:rsid w:val="007D28EF"/>
    <w:rsid w:val="00802AC6"/>
    <w:rsid w:val="00802DCF"/>
    <w:rsid w:val="008379FC"/>
    <w:rsid w:val="0086189D"/>
    <w:rsid w:val="00875684"/>
    <w:rsid w:val="00876402"/>
    <w:rsid w:val="008920D1"/>
    <w:rsid w:val="008A79BE"/>
    <w:rsid w:val="008A7B63"/>
    <w:rsid w:val="008C3068"/>
    <w:rsid w:val="008C6DF0"/>
    <w:rsid w:val="008E1D81"/>
    <w:rsid w:val="008E709D"/>
    <w:rsid w:val="00902D33"/>
    <w:rsid w:val="00904454"/>
    <w:rsid w:val="00904E7A"/>
    <w:rsid w:val="00914D4D"/>
    <w:rsid w:val="00915855"/>
    <w:rsid w:val="00941DEC"/>
    <w:rsid w:val="009517A4"/>
    <w:rsid w:val="00960D22"/>
    <w:rsid w:val="00962803"/>
    <w:rsid w:val="00966333"/>
    <w:rsid w:val="00987082"/>
    <w:rsid w:val="0099093A"/>
    <w:rsid w:val="0099278E"/>
    <w:rsid w:val="00996BF4"/>
    <w:rsid w:val="009C7947"/>
    <w:rsid w:val="00A072BA"/>
    <w:rsid w:val="00A30E10"/>
    <w:rsid w:val="00A368C9"/>
    <w:rsid w:val="00A44BCD"/>
    <w:rsid w:val="00A44CC5"/>
    <w:rsid w:val="00A75BC8"/>
    <w:rsid w:val="00A76463"/>
    <w:rsid w:val="00AB367D"/>
    <w:rsid w:val="00AC084A"/>
    <w:rsid w:val="00AD714F"/>
    <w:rsid w:val="00AE0BC2"/>
    <w:rsid w:val="00B02FF2"/>
    <w:rsid w:val="00B05E70"/>
    <w:rsid w:val="00B44F03"/>
    <w:rsid w:val="00B56790"/>
    <w:rsid w:val="00B578A1"/>
    <w:rsid w:val="00B81DD5"/>
    <w:rsid w:val="00B96038"/>
    <w:rsid w:val="00B962EE"/>
    <w:rsid w:val="00BB5B40"/>
    <w:rsid w:val="00BD34E7"/>
    <w:rsid w:val="00BD4ED7"/>
    <w:rsid w:val="00BF0AD4"/>
    <w:rsid w:val="00BF1F3F"/>
    <w:rsid w:val="00BF6719"/>
    <w:rsid w:val="00C517C4"/>
    <w:rsid w:val="00C548CB"/>
    <w:rsid w:val="00C57BB7"/>
    <w:rsid w:val="00C67946"/>
    <w:rsid w:val="00C83B4D"/>
    <w:rsid w:val="00C84075"/>
    <w:rsid w:val="00C97F7C"/>
    <w:rsid w:val="00CB16A2"/>
    <w:rsid w:val="00CB7A81"/>
    <w:rsid w:val="00CD2C06"/>
    <w:rsid w:val="00CE2B05"/>
    <w:rsid w:val="00CE3A8C"/>
    <w:rsid w:val="00CE732A"/>
    <w:rsid w:val="00D16A94"/>
    <w:rsid w:val="00D223FA"/>
    <w:rsid w:val="00D22FE7"/>
    <w:rsid w:val="00D35090"/>
    <w:rsid w:val="00D45762"/>
    <w:rsid w:val="00D53107"/>
    <w:rsid w:val="00D53635"/>
    <w:rsid w:val="00D61335"/>
    <w:rsid w:val="00D8520B"/>
    <w:rsid w:val="00DB2BCC"/>
    <w:rsid w:val="00DB46B8"/>
    <w:rsid w:val="00DC7458"/>
    <w:rsid w:val="00DD1878"/>
    <w:rsid w:val="00DF7E83"/>
    <w:rsid w:val="00E01318"/>
    <w:rsid w:val="00E27D91"/>
    <w:rsid w:val="00E47D94"/>
    <w:rsid w:val="00E56648"/>
    <w:rsid w:val="00E62F32"/>
    <w:rsid w:val="00E66210"/>
    <w:rsid w:val="00E84062"/>
    <w:rsid w:val="00E871CF"/>
    <w:rsid w:val="00EA6B47"/>
    <w:rsid w:val="00EB3016"/>
    <w:rsid w:val="00ED0935"/>
    <w:rsid w:val="00ED4747"/>
    <w:rsid w:val="00ED7632"/>
    <w:rsid w:val="00EE2CD6"/>
    <w:rsid w:val="00EF702D"/>
    <w:rsid w:val="00F01401"/>
    <w:rsid w:val="00F16193"/>
    <w:rsid w:val="00F27F39"/>
    <w:rsid w:val="00F42092"/>
    <w:rsid w:val="00F42AEE"/>
    <w:rsid w:val="00F62522"/>
    <w:rsid w:val="00F6448A"/>
    <w:rsid w:val="00F64C86"/>
    <w:rsid w:val="00F74819"/>
    <w:rsid w:val="00F93612"/>
    <w:rsid w:val="00FC0EF7"/>
    <w:rsid w:val="00FC1829"/>
    <w:rsid w:val="00FC5D5F"/>
    <w:rsid w:val="00FD0E4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63B5"/>
  <w15:docId w15:val="{7D7AA334-1D07-453C-A6D8-990CC297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F3002"/>
    <w:pPr>
      <w:ind w:left="720"/>
      <w:contextualSpacing/>
    </w:pPr>
  </w:style>
  <w:style w:type="paragraph" w:styleId="Frspaiere">
    <w:name w:val="No Spacing"/>
    <w:uiPriority w:val="1"/>
    <w:qFormat/>
    <w:rsid w:val="00533EF7"/>
    <w:pPr>
      <w:spacing w:after="0" w:line="240" w:lineRule="auto"/>
    </w:pPr>
    <w:rPr>
      <w:lang w:val="en-US"/>
    </w:rPr>
  </w:style>
  <w:style w:type="paragraph" w:styleId="NormalWeb">
    <w:name w:val="Normal (Web)"/>
    <w:aliases w:val="Знак, Знак"/>
    <w:basedOn w:val="Normal"/>
    <w:link w:val="NormalWebCaracter"/>
    <w:uiPriority w:val="99"/>
    <w:unhideWhenUsed/>
    <w:rsid w:val="00D536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Normal"/>
    <w:rsid w:val="00E4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Fontdeparagrafimplicit"/>
    <w:uiPriority w:val="99"/>
    <w:unhideWhenUsed/>
    <w:rsid w:val="00E47D9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6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62F32"/>
    <w:rPr>
      <w:rFonts w:ascii="Segoe UI" w:hAnsi="Segoe UI" w:cs="Segoe UI"/>
      <w:sz w:val="18"/>
      <w:szCs w:val="18"/>
    </w:rPr>
  </w:style>
  <w:style w:type="character" w:customStyle="1" w:styleId="NormalWebCaracter">
    <w:name w:val="Normal (Web) Caracter"/>
    <w:aliases w:val="Знак Caracter, Знак Caracter"/>
    <w:link w:val="NormalWeb"/>
    <w:uiPriority w:val="99"/>
    <w:locked/>
    <w:rsid w:val="00914D4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rticip.gov.md/ro/document/stages/proiectul-ordinului-ministrului-finantelor-cu-privire-la-modificarea-regulamentului-privind-inventarierea-aprobat-prin-ordinul-ministrului-finantelor-nr-602012/137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f.gov.md/ro/content/proiectul-ordinului-ministrului-finan%C8%9Belor-cu-privire-la-modificarea-regulamentului-privi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7856-D334-4D34-93A9-8BB83D6D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Dorina, Postu</cp:lastModifiedBy>
  <cp:revision>5</cp:revision>
  <cp:lastPrinted>2025-03-14T13:11:00Z</cp:lastPrinted>
  <dcterms:created xsi:type="dcterms:W3CDTF">2025-02-04T11:34:00Z</dcterms:created>
  <dcterms:modified xsi:type="dcterms:W3CDTF">2025-03-14T13:11:00Z</dcterms:modified>
</cp:coreProperties>
</file>