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6F" w:rsidRPr="00F047D4" w:rsidRDefault="00D22FE7" w:rsidP="00F0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23C3">
        <w:rPr>
          <w:rFonts w:ascii="Times New Roman" w:hAnsi="Times New Roman"/>
          <w:b/>
          <w:sz w:val="28"/>
          <w:szCs w:val="28"/>
        </w:rPr>
        <w:t>Not</w:t>
      </w:r>
      <w:r w:rsidR="0002366F">
        <w:rPr>
          <w:rFonts w:ascii="Times New Roman" w:hAnsi="Times New Roman"/>
          <w:b/>
          <w:sz w:val="28"/>
          <w:szCs w:val="28"/>
        </w:rPr>
        <w:t>a</w:t>
      </w:r>
      <w:r w:rsidRPr="00FC23C3">
        <w:rPr>
          <w:rFonts w:ascii="Times New Roman" w:hAnsi="Times New Roman"/>
          <w:b/>
          <w:sz w:val="28"/>
          <w:szCs w:val="28"/>
        </w:rPr>
        <w:t xml:space="preserve"> informativă</w:t>
      </w:r>
    </w:p>
    <w:p w:rsidR="0051146B" w:rsidRPr="0002366F" w:rsidRDefault="0002366F" w:rsidP="0002366F">
      <w:pPr>
        <w:pStyle w:val="Default"/>
        <w:rPr>
          <w:color w:val="auto"/>
          <w:sz w:val="28"/>
          <w:szCs w:val="28"/>
          <w:lang w:val="en-US"/>
        </w:rPr>
      </w:pPr>
      <w:r w:rsidRPr="0002366F">
        <w:rPr>
          <w:b/>
          <w:bCs/>
          <w:color w:val="auto"/>
          <w:sz w:val="28"/>
          <w:szCs w:val="28"/>
          <w:lang w:val="en-US"/>
        </w:rPr>
        <w:t>la proiectul Hotărîrii Guvernului privind abrogarea unor Hotărîri ale</w:t>
      </w:r>
      <w:r>
        <w:rPr>
          <w:b/>
          <w:bCs/>
          <w:color w:val="auto"/>
          <w:sz w:val="28"/>
          <w:szCs w:val="28"/>
          <w:lang w:val="en-US"/>
        </w:rPr>
        <w:t xml:space="preserve"> </w:t>
      </w:r>
      <w:r w:rsidRPr="0002366F">
        <w:rPr>
          <w:b/>
          <w:bCs/>
          <w:color w:val="auto"/>
          <w:sz w:val="28"/>
          <w:szCs w:val="28"/>
          <w:lang w:val="en-US"/>
        </w:rPr>
        <w:t>Guvernului</w:t>
      </w:r>
    </w:p>
    <w:p w:rsidR="0002366F" w:rsidRPr="0002366F" w:rsidRDefault="0002366F" w:rsidP="0002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4C86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64C86" w:rsidRPr="00284736" w:rsidRDefault="000F3002" w:rsidP="00F047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/>
                <w:b/>
                <w:sz w:val="26"/>
                <w:szCs w:val="26"/>
              </w:rPr>
              <w:t>1. Denumirea autorului și, după caz, a participanților la elaborarea proiectului</w:t>
            </w:r>
          </w:p>
        </w:tc>
      </w:tr>
      <w:tr w:rsidR="00F64C86" w:rsidRPr="00284736" w:rsidTr="00A627E6">
        <w:tc>
          <w:tcPr>
            <w:tcW w:w="9776" w:type="dxa"/>
          </w:tcPr>
          <w:p w:rsidR="00F02A36" w:rsidRPr="00284736" w:rsidRDefault="0002366F" w:rsidP="00F047D4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4736">
              <w:rPr>
                <w:rFonts w:ascii="Times New Roman" w:hAnsi="Times New Roman"/>
                <w:sz w:val="26"/>
                <w:szCs w:val="26"/>
              </w:rPr>
              <w:t xml:space="preserve">Proiectul Hotărîrii Guvernului privind abrogarea unor Hotărîri ale Guvernului a fost elaborat de către </w:t>
            </w:r>
            <w:r w:rsidR="00CB69C3" w:rsidRPr="00284736">
              <w:rPr>
                <w:rFonts w:ascii="Times New Roman" w:hAnsi="Times New Roman"/>
                <w:sz w:val="26"/>
                <w:szCs w:val="26"/>
              </w:rPr>
              <w:t>Ministerul Fina</w:t>
            </w:r>
            <w:r w:rsidR="00CB69C3" w:rsidRPr="00284736">
              <w:rPr>
                <w:rFonts w:ascii="Times New Roman" w:hAnsi="Times New Roman"/>
                <w:sz w:val="26"/>
                <w:szCs w:val="26"/>
                <w:lang w:val="ro-RO"/>
              </w:rPr>
              <w:t>nțelor</w:t>
            </w:r>
            <w:r w:rsidR="009968A8" w:rsidRPr="00284736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.</w:t>
            </w:r>
            <w:r w:rsidR="00900409" w:rsidRPr="00284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64C86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64C86" w:rsidRPr="00284736" w:rsidRDefault="005F5A04" w:rsidP="00F047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246C0E" w:rsidRPr="0028473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B3016" w:rsidRPr="00284736">
              <w:rPr>
                <w:rFonts w:ascii="Times New Roman" w:hAnsi="Times New Roman"/>
                <w:b/>
                <w:sz w:val="26"/>
                <w:szCs w:val="26"/>
              </w:rPr>
              <w:t xml:space="preserve">Condițiile ce au impus elaborarea proiectului de act normativ și finalitățile urmărite </w:t>
            </w:r>
          </w:p>
        </w:tc>
      </w:tr>
      <w:tr w:rsidR="00F64C86" w:rsidRPr="00284736" w:rsidTr="00A627E6">
        <w:trPr>
          <w:trHeight w:val="268"/>
        </w:trPr>
        <w:tc>
          <w:tcPr>
            <w:tcW w:w="9776" w:type="dxa"/>
          </w:tcPr>
          <w:p w:rsidR="00284736" w:rsidRDefault="00C93F1F" w:rsidP="0028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Necesitatea elaborării proiectului de Hotărîre a Guvernului „</w:t>
            </w:r>
            <w:r w:rsidR="00365D98" w:rsidRPr="00284736">
              <w:rPr>
                <w:rFonts w:ascii="Times New Roman" w:hAnsi="Times New Roman" w:cs="Times New Roman"/>
                <w:sz w:val="26"/>
                <w:szCs w:val="26"/>
              </w:rPr>
              <w:t>Privind abrogarea unor  Hotărîri ale Guvernului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”  este  generată de </w:t>
            </w:r>
            <w:r w:rsidR="00730417" w:rsidRPr="0028473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abrogarea Legii </w:t>
            </w:r>
            <w:r w:rsidR="0096218D" w:rsidRPr="0028473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nr.113/2007 </w:t>
            </w:r>
            <w:r w:rsidR="00730417" w:rsidRPr="0028473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contabilității și </w:t>
            </w:r>
            <w:r w:rsidR="00365D98" w:rsidRPr="00284736">
              <w:rPr>
                <w:rFonts w:ascii="Times New Roman" w:hAnsi="Times New Roman" w:cs="Times New Roman"/>
                <w:sz w:val="26"/>
                <w:szCs w:val="26"/>
              </w:rPr>
              <w:t>intrarea în vigoare din 01.01.2019</w:t>
            </w:r>
            <w:r w:rsidR="00B932D2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365D98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noii Legi </w:t>
            </w:r>
            <w:r w:rsidR="0096218D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nr.287/2017 </w:t>
            </w:r>
            <w:r w:rsidR="00365D98" w:rsidRPr="00284736">
              <w:rPr>
                <w:rFonts w:ascii="Times New Roman" w:hAnsi="Times New Roman" w:cs="Times New Roman"/>
                <w:sz w:val="26"/>
                <w:szCs w:val="26"/>
              </w:rPr>
              <w:t>contabilității și raportării financiare, care prevede că pentru dezvoltarea continuă şi asigurarea perfecţionării contabilităţii şi raportării financiare pe lîngă Ministerul Finanţelor se instituie Consiliul de contabilitate şi raportare financiară</w:t>
            </w:r>
            <w:r w:rsidR="001B5C12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84736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736">
              <w:rPr>
                <w:rFonts w:ascii="Times New Roman" w:hAnsi="Times New Roman" w:cs="Times New Roman"/>
                <w:sz w:val="26"/>
                <w:szCs w:val="26"/>
              </w:rPr>
              <w:t>Regulamentul de activitate a Consiliului, precum ș</w:t>
            </w:r>
            <w:r w:rsidR="00284736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i componența nominală a acestuia au fost aprobate prin ordinele Ministrului Finanțelor nr.63/2019 și nr.101/2019.</w:t>
            </w:r>
            <w:r w:rsidR="002847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53E0" w:rsidRPr="00284736" w:rsidRDefault="00365D98" w:rsidP="00F04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Totodată, </w:t>
            </w:r>
            <w:r w:rsidR="00284736">
              <w:rPr>
                <w:rFonts w:ascii="Times New Roman" w:hAnsi="Times New Roman" w:cs="Times New Roman"/>
                <w:sz w:val="26"/>
                <w:szCs w:val="26"/>
              </w:rPr>
              <w:t xml:space="preserve">a fost abrogată Legea </w:t>
            </w:r>
            <w:r w:rsidR="0096218D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nr.61/2007 </w:t>
            </w:r>
            <w:r w:rsidR="00730417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privind activitatea de audit prin 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30417" w:rsidRPr="00284736">
              <w:rPr>
                <w:rFonts w:ascii="Times New Roman" w:hAnsi="Times New Roman" w:cs="Times New Roman"/>
                <w:sz w:val="26"/>
                <w:szCs w:val="26"/>
              </w:rPr>
              <w:t>egea</w:t>
            </w:r>
            <w:r w:rsidR="0096218D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nr.271/2017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privind auditul situațiilor financiare</w:t>
            </w:r>
            <w:r w:rsidR="00730417" w:rsidRPr="00284736">
              <w:rPr>
                <w:rFonts w:ascii="Times New Roman" w:hAnsi="Times New Roman" w:cs="Times New Roman"/>
                <w:sz w:val="26"/>
                <w:szCs w:val="26"/>
              </w:rPr>
              <w:t>, care prevede că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5C12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certificarea persoanelor fizice pentru conferirea calificării profesionale de auditor se efectuează de către Comisia de certificare a auditorilor </w:t>
            </w:r>
            <w:r w:rsidR="000A53E0" w:rsidRPr="00284736">
              <w:rPr>
                <w:rFonts w:ascii="Times New Roman" w:hAnsi="Times New Roman" w:cs="Times New Roman"/>
                <w:sz w:val="26"/>
                <w:szCs w:val="26"/>
              </w:rPr>
              <w:t>instituită</w:t>
            </w:r>
            <w:r w:rsidR="001B5C12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pe lîngă Consiliul de supraveghere publică a auditului.</w:t>
            </w:r>
            <w:r w:rsidR="002847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Componența nominală a Comisiei de certificare a auditorilor a fost desemnată de către Comitetul de supraveghere a auditului prin decizia nr.23/2019 și activează în baza Regulamentului cu privire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la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certificarea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auditorilor,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aprobat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prin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 xml:space="preserve">decizia 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 xml:space="preserve"> Comitetului  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>nr</w:t>
            </w:r>
            <w:r w:rsidR="009D6A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F5951">
              <w:rPr>
                <w:rFonts w:ascii="Times New Roman" w:hAnsi="Times New Roman" w:cs="Times New Roman"/>
                <w:sz w:val="26"/>
                <w:szCs w:val="26"/>
              </w:rPr>
              <w:t>16/2019.</w:t>
            </w:r>
          </w:p>
          <w:p w:rsidR="007A3C0B" w:rsidRPr="00284736" w:rsidRDefault="00F047D4" w:rsidP="00F04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Suplimentar, pun</w:t>
            </w:r>
            <w:r w:rsidR="00D25EB4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ctul 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5EB4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al proiectului de hotărîre prevede, că aceasta intră în vigoare din data publicării în Monitorul Oficial al Republicii Moldova.</w:t>
            </w:r>
          </w:p>
        </w:tc>
      </w:tr>
      <w:tr w:rsidR="00F047D4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047D4" w:rsidRPr="00284736" w:rsidRDefault="00867AF8" w:rsidP="00F047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F047D4" w:rsidRPr="00284736">
              <w:rPr>
                <w:rFonts w:ascii="Times New Roman" w:hAnsi="Times New Roman"/>
                <w:b/>
                <w:sz w:val="26"/>
                <w:szCs w:val="26"/>
              </w:rPr>
              <w:t>. Principalele prevederi ale proiectului și evidențierea elementelor noi</w:t>
            </w:r>
          </w:p>
        </w:tc>
      </w:tr>
      <w:tr w:rsidR="00F047D4" w:rsidRPr="00284736" w:rsidTr="00A627E6">
        <w:tc>
          <w:tcPr>
            <w:tcW w:w="9776" w:type="dxa"/>
          </w:tcPr>
          <w:p w:rsidR="00F047D4" w:rsidRPr="00284736" w:rsidRDefault="00F047D4" w:rsidP="00F04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Proiectul de abrogare reprezintă un proiect de Hotărîre de Guvern cu privire la abrogare a </w:t>
            </w:r>
            <w:r w:rsidRPr="00284736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 xml:space="preserve">Hotărîrii 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Guvernului nr.128/2008 cu privire la Consiliul consultativ pe lîngă Ministerul Finanţelor și Hotărîrii Guvernului nr.1450/2007 cu privire la unele măsuri de executare a Legii nr.61-XVI din 16 martie 2007 privind activitatea de audit.</w:t>
            </w:r>
          </w:p>
        </w:tc>
      </w:tr>
      <w:tr w:rsidR="00F047D4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047D4" w:rsidRPr="00284736" w:rsidRDefault="00867AF8" w:rsidP="00F047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F047D4" w:rsidRPr="00284736">
              <w:rPr>
                <w:rFonts w:ascii="Times New Roman" w:hAnsi="Times New Roman"/>
                <w:b/>
                <w:sz w:val="26"/>
                <w:szCs w:val="26"/>
              </w:rPr>
              <w:t>. Fundamentarea economico-financiară</w:t>
            </w:r>
          </w:p>
        </w:tc>
      </w:tr>
      <w:tr w:rsidR="00F047D4" w:rsidRPr="00284736" w:rsidTr="00A627E6">
        <w:tc>
          <w:tcPr>
            <w:tcW w:w="9776" w:type="dxa"/>
          </w:tcPr>
          <w:p w:rsidR="00F047D4" w:rsidRPr="00284736" w:rsidRDefault="00F047D4" w:rsidP="00F047D4">
            <w:pPr>
              <w:pStyle w:val="a9"/>
              <w:ind w:firstLine="0"/>
              <w:rPr>
                <w:sz w:val="26"/>
                <w:szCs w:val="26"/>
                <w:lang w:val="ro-RO"/>
              </w:rPr>
            </w:pPr>
            <w:r w:rsidRPr="00284736">
              <w:rPr>
                <w:sz w:val="26"/>
                <w:szCs w:val="26"/>
                <w:lang w:val="ro-RO"/>
              </w:rPr>
              <w:t>Implementarea prezentului proiect nu va necesita cheltuieli financiare de la bugetul de stat.</w:t>
            </w:r>
          </w:p>
        </w:tc>
      </w:tr>
      <w:tr w:rsidR="00F047D4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047D4" w:rsidRPr="00284736" w:rsidRDefault="00867AF8" w:rsidP="00F047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047D4" w:rsidRPr="00284736">
              <w:rPr>
                <w:rFonts w:ascii="Times New Roman" w:hAnsi="Times New Roman"/>
                <w:b/>
                <w:sz w:val="26"/>
                <w:szCs w:val="26"/>
              </w:rPr>
              <w:t>. Modul de încorporare a actului în cadrul normativ în vigoare</w:t>
            </w:r>
          </w:p>
        </w:tc>
      </w:tr>
      <w:tr w:rsidR="00F047D4" w:rsidRPr="00284736" w:rsidTr="00A627E6">
        <w:tc>
          <w:tcPr>
            <w:tcW w:w="9776" w:type="dxa"/>
          </w:tcPr>
          <w:p w:rsidR="00F047D4" w:rsidRPr="00284736" w:rsidRDefault="00F047D4" w:rsidP="00F047D4">
            <w:pPr>
              <w:tabs>
                <w:tab w:val="left" w:pos="28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4736">
              <w:rPr>
                <w:rFonts w:ascii="Times New Roman" w:hAnsi="Times New Roman"/>
                <w:sz w:val="26"/>
                <w:szCs w:val="26"/>
              </w:rPr>
              <w:t>Urmare aprobării proiectului, nu va apărea necesitatea modificării sau abrogării unor acte normative.</w:t>
            </w:r>
          </w:p>
        </w:tc>
      </w:tr>
      <w:tr w:rsidR="00F047D4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047D4" w:rsidRPr="00284736" w:rsidRDefault="00867AF8" w:rsidP="00F047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4736">
              <w:rPr>
                <w:rFonts w:ascii="Times New Roman" w:hAnsi="Times New Roman"/>
                <w:b/>
                <w:sz w:val="26"/>
                <w:szCs w:val="26"/>
                <w:shd w:val="clear" w:color="auto" w:fill="D9D9D9" w:themeFill="background1" w:themeFillShade="D9"/>
              </w:rPr>
              <w:t>6</w:t>
            </w:r>
            <w:r w:rsidR="00F047D4" w:rsidRPr="00284736">
              <w:rPr>
                <w:rFonts w:ascii="Times New Roman" w:hAnsi="Times New Roman"/>
                <w:b/>
                <w:sz w:val="26"/>
                <w:szCs w:val="26"/>
                <w:shd w:val="clear" w:color="auto" w:fill="D9D9D9" w:themeFill="background1" w:themeFillShade="D9"/>
              </w:rPr>
              <w:t>. Avizarea si consultarea publică a proiectului</w:t>
            </w:r>
          </w:p>
        </w:tc>
      </w:tr>
      <w:tr w:rsidR="00F047D4" w:rsidRPr="00284736" w:rsidTr="00A627E6">
        <w:tc>
          <w:tcPr>
            <w:tcW w:w="9776" w:type="dxa"/>
          </w:tcPr>
          <w:p w:rsidR="00F047D4" w:rsidRPr="00284736" w:rsidRDefault="00F047D4" w:rsidP="00F04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În scopul respectării prevederilor Legii nr. 239/2008 privind transparenţa în procesul decizional, proiectul de hotărîre și nota informativă vor fi plasate pe pagina web oficială a Ministerului Finanțelor (compartimentul </w:t>
            </w:r>
            <w:r w:rsidRPr="00284736">
              <w:rPr>
                <w:rFonts w:ascii="Times New Roman" w:hAnsi="Times New Roman" w:cs="Times New Roman"/>
                <w:i/>
                <w:sz w:val="26"/>
                <w:szCs w:val="26"/>
              </w:rPr>
              <w:t>„Transparența”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, directoriul </w:t>
            </w:r>
            <w:r w:rsidRPr="00284736">
              <w:rPr>
                <w:rFonts w:ascii="Times New Roman" w:hAnsi="Times New Roman" w:cs="Times New Roman"/>
                <w:i/>
                <w:sz w:val="26"/>
                <w:szCs w:val="26"/>
              </w:rPr>
              <w:t>Transparență decizională/Anunțuri privind consultările publice”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30417"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 și pe 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 xml:space="preserve">portalul guvernamental </w:t>
            </w:r>
            <w:r w:rsidRPr="00284736">
              <w:rPr>
                <w:rFonts w:ascii="Times New Roman" w:hAnsi="Times New Roman" w:cs="Times New Roman"/>
                <w:i/>
                <w:sz w:val="26"/>
                <w:szCs w:val="26"/>
              </w:rPr>
              <w:t>particip.gov.md</w:t>
            </w:r>
            <w:r w:rsidRPr="002847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47D4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047D4" w:rsidRPr="00284736" w:rsidRDefault="00867AF8" w:rsidP="00F047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047D4" w:rsidRPr="00284736">
              <w:rPr>
                <w:rFonts w:ascii="Times New Roman" w:hAnsi="Times New Roman" w:cs="Times New Roman"/>
                <w:b/>
                <w:sz w:val="26"/>
                <w:szCs w:val="26"/>
              </w:rPr>
              <w:t>. Constatările expertizei anticorupție</w:t>
            </w:r>
          </w:p>
        </w:tc>
      </w:tr>
      <w:tr w:rsidR="00F047D4" w:rsidRPr="00284736" w:rsidTr="00A627E6">
        <w:tc>
          <w:tcPr>
            <w:tcW w:w="9776" w:type="dxa"/>
          </w:tcPr>
          <w:p w:rsidR="00F047D4" w:rsidRPr="00284736" w:rsidRDefault="00F047D4" w:rsidP="00F04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7D4" w:rsidRPr="00284736" w:rsidTr="00A627E6">
        <w:tc>
          <w:tcPr>
            <w:tcW w:w="9776" w:type="dxa"/>
            <w:shd w:val="clear" w:color="auto" w:fill="D9D9D9" w:themeFill="background1" w:themeFillShade="D9"/>
          </w:tcPr>
          <w:p w:rsidR="00F047D4" w:rsidRPr="00284736" w:rsidRDefault="00867AF8" w:rsidP="00F047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73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F047D4" w:rsidRPr="00284736">
              <w:rPr>
                <w:rFonts w:ascii="Times New Roman" w:hAnsi="Times New Roman" w:cs="Times New Roman"/>
                <w:b/>
                <w:sz w:val="26"/>
                <w:szCs w:val="26"/>
              </w:rPr>
              <w:t>.Constatările expertizei juridice</w:t>
            </w:r>
          </w:p>
        </w:tc>
      </w:tr>
      <w:tr w:rsidR="00F047D4" w:rsidRPr="00284736" w:rsidTr="00A627E6">
        <w:tc>
          <w:tcPr>
            <w:tcW w:w="9776" w:type="dxa"/>
          </w:tcPr>
          <w:p w:rsidR="00F047D4" w:rsidRPr="00284736" w:rsidRDefault="00F047D4" w:rsidP="00F04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2F7B" w:rsidRDefault="00722F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2097" w:rsidRDefault="000D2097" w:rsidP="000D20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    </w:t>
      </w:r>
    </w:p>
    <w:p w:rsidR="000D2097" w:rsidRPr="00081F94" w:rsidRDefault="00730417" w:rsidP="00730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        </w:t>
      </w:r>
      <w:r w:rsidR="000D2097"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V</w:t>
      </w:r>
      <w:r w:rsidR="000D2097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ICEPRIM-MINISTRU</w:t>
      </w:r>
      <w:r w:rsidR="000D2097" w:rsidRPr="00081F94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,</w:t>
      </w:r>
    </w:p>
    <w:p w:rsidR="000D2097" w:rsidRDefault="00730417" w:rsidP="007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MINISTRUL FINANȚELOR                                         </w:t>
      </w:r>
      <w:r w:rsidR="000D2097" w:rsidRPr="00081F94">
        <w:rPr>
          <w:rFonts w:ascii="Times New Roman" w:hAnsi="Times New Roman" w:cs="Times New Roman"/>
          <w:b/>
          <w:sz w:val="28"/>
          <w:szCs w:val="28"/>
          <w:lang w:val="ro-MD"/>
        </w:rPr>
        <w:t xml:space="preserve">Serghei </w:t>
      </w:r>
      <w:r w:rsidR="000D2097">
        <w:rPr>
          <w:rFonts w:ascii="Times New Roman" w:hAnsi="Times New Roman" w:cs="Times New Roman"/>
          <w:b/>
          <w:sz w:val="28"/>
          <w:szCs w:val="28"/>
          <w:lang w:val="ro-MD"/>
        </w:rPr>
        <w:t>PUȘCUȚA</w:t>
      </w:r>
    </w:p>
    <w:p w:rsidR="00A627E6" w:rsidRDefault="00A627E6" w:rsidP="007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A627E6" w:rsidRDefault="00A627E6" w:rsidP="0073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722F7B" w:rsidRPr="00284736" w:rsidRDefault="00722F7B" w:rsidP="000D2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22F7B" w:rsidRPr="00284736" w:rsidSect="000D2097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1E" w:rsidRDefault="006B4B1E" w:rsidP="00180C23">
      <w:pPr>
        <w:spacing w:after="0" w:line="240" w:lineRule="auto"/>
      </w:pPr>
      <w:r>
        <w:separator/>
      </w:r>
    </w:p>
  </w:endnote>
  <w:endnote w:type="continuationSeparator" w:id="0">
    <w:p w:rsidR="006B4B1E" w:rsidRDefault="006B4B1E" w:rsidP="0018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1E" w:rsidRDefault="006B4B1E" w:rsidP="00180C23">
      <w:pPr>
        <w:spacing w:after="0" w:line="240" w:lineRule="auto"/>
      </w:pPr>
      <w:r>
        <w:separator/>
      </w:r>
    </w:p>
  </w:footnote>
  <w:footnote w:type="continuationSeparator" w:id="0">
    <w:p w:rsidR="006B4B1E" w:rsidRDefault="006B4B1E" w:rsidP="0018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FF4"/>
    <w:multiLevelType w:val="hybridMultilevel"/>
    <w:tmpl w:val="F29A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64C"/>
    <w:multiLevelType w:val="hybridMultilevel"/>
    <w:tmpl w:val="42CCDD88"/>
    <w:lvl w:ilvl="0" w:tplc="34F88B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80E33"/>
    <w:multiLevelType w:val="hybridMultilevel"/>
    <w:tmpl w:val="768C5F96"/>
    <w:lvl w:ilvl="0" w:tplc="528E9F8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2B153BA"/>
    <w:multiLevelType w:val="hybridMultilevel"/>
    <w:tmpl w:val="770C9F3A"/>
    <w:lvl w:ilvl="0" w:tplc="135ADE2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6917669"/>
    <w:multiLevelType w:val="hybridMultilevel"/>
    <w:tmpl w:val="BF1051CE"/>
    <w:lvl w:ilvl="0" w:tplc="E2EAF0A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082742"/>
    <w:multiLevelType w:val="hybridMultilevel"/>
    <w:tmpl w:val="DF9A9E5C"/>
    <w:lvl w:ilvl="0" w:tplc="5D2CDC1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1C1A5037"/>
    <w:multiLevelType w:val="hybridMultilevel"/>
    <w:tmpl w:val="44303B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F3594"/>
    <w:multiLevelType w:val="hybridMultilevel"/>
    <w:tmpl w:val="6B120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2F53"/>
    <w:multiLevelType w:val="hybridMultilevel"/>
    <w:tmpl w:val="C8AE2E72"/>
    <w:lvl w:ilvl="0" w:tplc="1ADEF6A8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9052E"/>
    <w:multiLevelType w:val="hybridMultilevel"/>
    <w:tmpl w:val="0C3CAD3E"/>
    <w:lvl w:ilvl="0" w:tplc="AE8A961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7716A2"/>
    <w:multiLevelType w:val="hybridMultilevel"/>
    <w:tmpl w:val="3FF612B0"/>
    <w:lvl w:ilvl="0" w:tplc="8542B7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04B6"/>
    <w:multiLevelType w:val="hybridMultilevel"/>
    <w:tmpl w:val="0F7414F8"/>
    <w:lvl w:ilvl="0" w:tplc="38767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BF22EE"/>
    <w:multiLevelType w:val="hybridMultilevel"/>
    <w:tmpl w:val="465ED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B7909"/>
    <w:multiLevelType w:val="hybridMultilevel"/>
    <w:tmpl w:val="AA5618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CA51AE"/>
    <w:multiLevelType w:val="hybridMultilevel"/>
    <w:tmpl w:val="8D381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23FE"/>
    <w:multiLevelType w:val="hybridMultilevel"/>
    <w:tmpl w:val="0FDA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8376C"/>
    <w:multiLevelType w:val="hybridMultilevel"/>
    <w:tmpl w:val="E6DE54B2"/>
    <w:lvl w:ilvl="0" w:tplc="93EEC01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FE56ED"/>
    <w:multiLevelType w:val="hybridMultilevel"/>
    <w:tmpl w:val="18887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562B0"/>
    <w:multiLevelType w:val="hybridMultilevel"/>
    <w:tmpl w:val="BB402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42E6"/>
    <w:multiLevelType w:val="hybridMultilevel"/>
    <w:tmpl w:val="19AA071C"/>
    <w:lvl w:ilvl="0" w:tplc="F69AFB94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AAD1E8D"/>
    <w:multiLevelType w:val="hybridMultilevel"/>
    <w:tmpl w:val="9B7A218C"/>
    <w:lvl w:ilvl="0" w:tplc="10445CF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A47DA8"/>
    <w:multiLevelType w:val="hybridMultilevel"/>
    <w:tmpl w:val="B47C8580"/>
    <w:lvl w:ilvl="0" w:tplc="0F78D012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9"/>
  </w:num>
  <w:num w:numId="5">
    <w:abstractNumId w:val="4"/>
  </w:num>
  <w:num w:numId="6">
    <w:abstractNumId w:val="20"/>
  </w:num>
  <w:num w:numId="7">
    <w:abstractNumId w:val="7"/>
  </w:num>
  <w:num w:numId="8">
    <w:abstractNumId w:val="6"/>
  </w:num>
  <w:num w:numId="9">
    <w:abstractNumId w:val="14"/>
  </w:num>
  <w:num w:numId="10">
    <w:abstractNumId w:val="12"/>
  </w:num>
  <w:num w:numId="11">
    <w:abstractNumId w:val="18"/>
  </w:num>
  <w:num w:numId="12">
    <w:abstractNumId w:val="1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9"/>
  </w:num>
  <w:num w:numId="18">
    <w:abstractNumId w:val="8"/>
  </w:num>
  <w:num w:numId="19">
    <w:abstractNumId w:val="2"/>
  </w:num>
  <w:num w:numId="20">
    <w:abstractNumId w:val="2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204B3"/>
    <w:rsid w:val="0002366F"/>
    <w:rsid w:val="00030732"/>
    <w:rsid w:val="0003107A"/>
    <w:rsid w:val="000314A5"/>
    <w:rsid w:val="00033899"/>
    <w:rsid w:val="00046003"/>
    <w:rsid w:val="00046BBD"/>
    <w:rsid w:val="00047853"/>
    <w:rsid w:val="000525F5"/>
    <w:rsid w:val="0006460B"/>
    <w:rsid w:val="00064BAE"/>
    <w:rsid w:val="000657E3"/>
    <w:rsid w:val="00077122"/>
    <w:rsid w:val="00077F41"/>
    <w:rsid w:val="00086C61"/>
    <w:rsid w:val="00093179"/>
    <w:rsid w:val="000A323B"/>
    <w:rsid w:val="000A53E0"/>
    <w:rsid w:val="000A5AFA"/>
    <w:rsid w:val="000A69E9"/>
    <w:rsid w:val="000B52CC"/>
    <w:rsid w:val="000C2737"/>
    <w:rsid w:val="000C54AC"/>
    <w:rsid w:val="000D2097"/>
    <w:rsid w:val="000D427A"/>
    <w:rsid w:val="000D6E7D"/>
    <w:rsid w:val="000E34C9"/>
    <w:rsid w:val="000F0442"/>
    <w:rsid w:val="000F1A45"/>
    <w:rsid w:val="000F2A9F"/>
    <w:rsid w:val="000F3002"/>
    <w:rsid w:val="0010071F"/>
    <w:rsid w:val="00100CEC"/>
    <w:rsid w:val="001049D5"/>
    <w:rsid w:val="00110BF5"/>
    <w:rsid w:val="001130A0"/>
    <w:rsid w:val="001172E3"/>
    <w:rsid w:val="00125060"/>
    <w:rsid w:val="00131394"/>
    <w:rsid w:val="00143542"/>
    <w:rsid w:val="001531A1"/>
    <w:rsid w:val="001604A1"/>
    <w:rsid w:val="001700C6"/>
    <w:rsid w:val="00177A8C"/>
    <w:rsid w:val="00180C23"/>
    <w:rsid w:val="001851EA"/>
    <w:rsid w:val="00190238"/>
    <w:rsid w:val="0019281B"/>
    <w:rsid w:val="00192B07"/>
    <w:rsid w:val="00195BD3"/>
    <w:rsid w:val="001A5A1D"/>
    <w:rsid w:val="001A5D52"/>
    <w:rsid w:val="001B5C12"/>
    <w:rsid w:val="001B7625"/>
    <w:rsid w:val="001B7B78"/>
    <w:rsid w:val="001C0411"/>
    <w:rsid w:val="001D3F74"/>
    <w:rsid w:val="001D5AD3"/>
    <w:rsid w:val="001E2465"/>
    <w:rsid w:val="001F6047"/>
    <w:rsid w:val="002042E6"/>
    <w:rsid w:val="00217DBF"/>
    <w:rsid w:val="0023553E"/>
    <w:rsid w:val="0023756C"/>
    <w:rsid w:val="00241CD6"/>
    <w:rsid w:val="00246C0E"/>
    <w:rsid w:val="0025200E"/>
    <w:rsid w:val="00260445"/>
    <w:rsid w:val="002674A5"/>
    <w:rsid w:val="00267D16"/>
    <w:rsid w:val="00273306"/>
    <w:rsid w:val="00277A43"/>
    <w:rsid w:val="0028180C"/>
    <w:rsid w:val="002837F1"/>
    <w:rsid w:val="00284736"/>
    <w:rsid w:val="00285AE6"/>
    <w:rsid w:val="002A199F"/>
    <w:rsid w:val="002A3872"/>
    <w:rsid w:val="002B4CCB"/>
    <w:rsid w:val="002B7FB4"/>
    <w:rsid w:val="002D1040"/>
    <w:rsid w:val="002D1DC4"/>
    <w:rsid w:val="002D388B"/>
    <w:rsid w:val="002E0C10"/>
    <w:rsid w:val="002F5400"/>
    <w:rsid w:val="00303121"/>
    <w:rsid w:val="0030616A"/>
    <w:rsid w:val="003140D1"/>
    <w:rsid w:val="00323C1E"/>
    <w:rsid w:val="00333A41"/>
    <w:rsid w:val="00365D98"/>
    <w:rsid w:val="00370A3B"/>
    <w:rsid w:val="00387FD3"/>
    <w:rsid w:val="0039382D"/>
    <w:rsid w:val="00394B5D"/>
    <w:rsid w:val="003B59E5"/>
    <w:rsid w:val="003C095D"/>
    <w:rsid w:val="003C4771"/>
    <w:rsid w:val="003D672F"/>
    <w:rsid w:val="003F3D73"/>
    <w:rsid w:val="00416378"/>
    <w:rsid w:val="004209C4"/>
    <w:rsid w:val="00421A36"/>
    <w:rsid w:val="004264C6"/>
    <w:rsid w:val="00432923"/>
    <w:rsid w:val="00433B64"/>
    <w:rsid w:val="00441DC7"/>
    <w:rsid w:val="00443C2E"/>
    <w:rsid w:val="00446645"/>
    <w:rsid w:val="0045426B"/>
    <w:rsid w:val="00456E73"/>
    <w:rsid w:val="00462D5C"/>
    <w:rsid w:val="00476D1C"/>
    <w:rsid w:val="00480319"/>
    <w:rsid w:val="004B6E83"/>
    <w:rsid w:val="004C5537"/>
    <w:rsid w:val="004C5E63"/>
    <w:rsid w:val="004D7EF7"/>
    <w:rsid w:val="004E014B"/>
    <w:rsid w:val="004E657D"/>
    <w:rsid w:val="004E768B"/>
    <w:rsid w:val="004F2177"/>
    <w:rsid w:val="005072FB"/>
    <w:rsid w:val="005075AF"/>
    <w:rsid w:val="00507CBD"/>
    <w:rsid w:val="0051146B"/>
    <w:rsid w:val="00516B0E"/>
    <w:rsid w:val="00516B69"/>
    <w:rsid w:val="00522705"/>
    <w:rsid w:val="00522A28"/>
    <w:rsid w:val="00522E3C"/>
    <w:rsid w:val="00523980"/>
    <w:rsid w:val="005266B2"/>
    <w:rsid w:val="005354A4"/>
    <w:rsid w:val="00535A29"/>
    <w:rsid w:val="005364BF"/>
    <w:rsid w:val="00536686"/>
    <w:rsid w:val="00541890"/>
    <w:rsid w:val="005620D3"/>
    <w:rsid w:val="00564C76"/>
    <w:rsid w:val="005820F8"/>
    <w:rsid w:val="005941CC"/>
    <w:rsid w:val="00594FA3"/>
    <w:rsid w:val="00595DBE"/>
    <w:rsid w:val="00596361"/>
    <w:rsid w:val="0059745D"/>
    <w:rsid w:val="005D1F5D"/>
    <w:rsid w:val="005D4F88"/>
    <w:rsid w:val="005D692D"/>
    <w:rsid w:val="005E651A"/>
    <w:rsid w:val="005E6BC3"/>
    <w:rsid w:val="005F4303"/>
    <w:rsid w:val="005F5A04"/>
    <w:rsid w:val="00603981"/>
    <w:rsid w:val="0060683E"/>
    <w:rsid w:val="0060699B"/>
    <w:rsid w:val="0061089E"/>
    <w:rsid w:val="00626E6D"/>
    <w:rsid w:val="00627723"/>
    <w:rsid w:val="00647FD3"/>
    <w:rsid w:val="00652233"/>
    <w:rsid w:val="0066098A"/>
    <w:rsid w:val="006766D4"/>
    <w:rsid w:val="0068023E"/>
    <w:rsid w:val="00683BF7"/>
    <w:rsid w:val="00685D85"/>
    <w:rsid w:val="006874F2"/>
    <w:rsid w:val="00687F1F"/>
    <w:rsid w:val="00695071"/>
    <w:rsid w:val="006A3906"/>
    <w:rsid w:val="006A4BEA"/>
    <w:rsid w:val="006B4B1E"/>
    <w:rsid w:val="006B56EB"/>
    <w:rsid w:val="006B7AFE"/>
    <w:rsid w:val="006C5FA2"/>
    <w:rsid w:val="006D3977"/>
    <w:rsid w:val="006D5B98"/>
    <w:rsid w:val="006E51BA"/>
    <w:rsid w:val="006E74DD"/>
    <w:rsid w:val="006F0B65"/>
    <w:rsid w:val="006F5AB3"/>
    <w:rsid w:val="00701DDD"/>
    <w:rsid w:val="007121B6"/>
    <w:rsid w:val="00722F7B"/>
    <w:rsid w:val="00730417"/>
    <w:rsid w:val="00737FE4"/>
    <w:rsid w:val="007565CE"/>
    <w:rsid w:val="00757A54"/>
    <w:rsid w:val="0076007E"/>
    <w:rsid w:val="0076095F"/>
    <w:rsid w:val="00763A86"/>
    <w:rsid w:val="007679B8"/>
    <w:rsid w:val="007758C1"/>
    <w:rsid w:val="00783872"/>
    <w:rsid w:val="0078587E"/>
    <w:rsid w:val="00793DAF"/>
    <w:rsid w:val="00796D06"/>
    <w:rsid w:val="007A3936"/>
    <w:rsid w:val="007A3C0B"/>
    <w:rsid w:val="007A6E7E"/>
    <w:rsid w:val="007C17B8"/>
    <w:rsid w:val="007C527C"/>
    <w:rsid w:val="007D1D48"/>
    <w:rsid w:val="007D59B7"/>
    <w:rsid w:val="007D6BFD"/>
    <w:rsid w:val="007E2880"/>
    <w:rsid w:val="007E47F3"/>
    <w:rsid w:val="007E700A"/>
    <w:rsid w:val="008067B8"/>
    <w:rsid w:val="00807CEF"/>
    <w:rsid w:val="0081542E"/>
    <w:rsid w:val="008162B1"/>
    <w:rsid w:val="00817B0E"/>
    <w:rsid w:val="00831174"/>
    <w:rsid w:val="00852A0C"/>
    <w:rsid w:val="00852B6A"/>
    <w:rsid w:val="00854E5E"/>
    <w:rsid w:val="00856210"/>
    <w:rsid w:val="00856334"/>
    <w:rsid w:val="00867AF8"/>
    <w:rsid w:val="008720FC"/>
    <w:rsid w:val="00880907"/>
    <w:rsid w:val="00884145"/>
    <w:rsid w:val="008854B4"/>
    <w:rsid w:val="008859CB"/>
    <w:rsid w:val="0089516F"/>
    <w:rsid w:val="008A78D8"/>
    <w:rsid w:val="008B5598"/>
    <w:rsid w:val="008C37AF"/>
    <w:rsid w:val="008C5752"/>
    <w:rsid w:val="008D10CC"/>
    <w:rsid w:val="008D53D7"/>
    <w:rsid w:val="008D690B"/>
    <w:rsid w:val="00900409"/>
    <w:rsid w:val="009019DD"/>
    <w:rsid w:val="0090338A"/>
    <w:rsid w:val="00912D39"/>
    <w:rsid w:val="009174E2"/>
    <w:rsid w:val="009217F0"/>
    <w:rsid w:val="0093278C"/>
    <w:rsid w:val="0093465C"/>
    <w:rsid w:val="00940417"/>
    <w:rsid w:val="0094688D"/>
    <w:rsid w:val="0095178A"/>
    <w:rsid w:val="009532B1"/>
    <w:rsid w:val="0096218D"/>
    <w:rsid w:val="00963C4B"/>
    <w:rsid w:val="00966954"/>
    <w:rsid w:val="009673CA"/>
    <w:rsid w:val="009676B3"/>
    <w:rsid w:val="00974A73"/>
    <w:rsid w:val="009772B6"/>
    <w:rsid w:val="00984A2B"/>
    <w:rsid w:val="0099314B"/>
    <w:rsid w:val="009968A8"/>
    <w:rsid w:val="009A43E2"/>
    <w:rsid w:val="009B17A2"/>
    <w:rsid w:val="009B4C14"/>
    <w:rsid w:val="009B54FA"/>
    <w:rsid w:val="009B60FA"/>
    <w:rsid w:val="009C3BD8"/>
    <w:rsid w:val="009C7947"/>
    <w:rsid w:val="009D6AC8"/>
    <w:rsid w:val="009E793B"/>
    <w:rsid w:val="009F3DF9"/>
    <w:rsid w:val="009F59A3"/>
    <w:rsid w:val="009F79A9"/>
    <w:rsid w:val="00A11405"/>
    <w:rsid w:val="00A168AD"/>
    <w:rsid w:val="00A17E98"/>
    <w:rsid w:val="00A27757"/>
    <w:rsid w:val="00A32C22"/>
    <w:rsid w:val="00A34506"/>
    <w:rsid w:val="00A408EA"/>
    <w:rsid w:val="00A41602"/>
    <w:rsid w:val="00A52311"/>
    <w:rsid w:val="00A5387D"/>
    <w:rsid w:val="00A561EC"/>
    <w:rsid w:val="00A627E6"/>
    <w:rsid w:val="00A709EF"/>
    <w:rsid w:val="00A74BFD"/>
    <w:rsid w:val="00A92006"/>
    <w:rsid w:val="00A96273"/>
    <w:rsid w:val="00AA58B6"/>
    <w:rsid w:val="00AC4383"/>
    <w:rsid w:val="00AC7F7C"/>
    <w:rsid w:val="00AD518B"/>
    <w:rsid w:val="00AE1678"/>
    <w:rsid w:val="00AE2C9D"/>
    <w:rsid w:val="00AE7625"/>
    <w:rsid w:val="00AF1D20"/>
    <w:rsid w:val="00B026C0"/>
    <w:rsid w:val="00B122D3"/>
    <w:rsid w:val="00B14B8D"/>
    <w:rsid w:val="00B21EE1"/>
    <w:rsid w:val="00B224E0"/>
    <w:rsid w:val="00B22DBC"/>
    <w:rsid w:val="00B27460"/>
    <w:rsid w:val="00B3672B"/>
    <w:rsid w:val="00B44656"/>
    <w:rsid w:val="00B50F46"/>
    <w:rsid w:val="00B63DA4"/>
    <w:rsid w:val="00B726B0"/>
    <w:rsid w:val="00B749EE"/>
    <w:rsid w:val="00B75574"/>
    <w:rsid w:val="00B7753C"/>
    <w:rsid w:val="00B81804"/>
    <w:rsid w:val="00B91AEA"/>
    <w:rsid w:val="00B932D2"/>
    <w:rsid w:val="00BA0D7D"/>
    <w:rsid w:val="00BA4942"/>
    <w:rsid w:val="00BA6050"/>
    <w:rsid w:val="00BB2FD7"/>
    <w:rsid w:val="00BB4273"/>
    <w:rsid w:val="00BB6E65"/>
    <w:rsid w:val="00BB7A10"/>
    <w:rsid w:val="00BB7C7C"/>
    <w:rsid w:val="00BC47ED"/>
    <w:rsid w:val="00BC4C0F"/>
    <w:rsid w:val="00BE4C7B"/>
    <w:rsid w:val="00BE6E36"/>
    <w:rsid w:val="00BF6215"/>
    <w:rsid w:val="00BF708A"/>
    <w:rsid w:val="00BF7ECF"/>
    <w:rsid w:val="00C010F5"/>
    <w:rsid w:val="00C01794"/>
    <w:rsid w:val="00C10BE0"/>
    <w:rsid w:val="00C17DBF"/>
    <w:rsid w:val="00C20E8A"/>
    <w:rsid w:val="00C30F60"/>
    <w:rsid w:val="00C37E75"/>
    <w:rsid w:val="00C55CCB"/>
    <w:rsid w:val="00C61586"/>
    <w:rsid w:val="00C618D0"/>
    <w:rsid w:val="00C72A8A"/>
    <w:rsid w:val="00C77340"/>
    <w:rsid w:val="00C909B1"/>
    <w:rsid w:val="00C922AD"/>
    <w:rsid w:val="00C93F1F"/>
    <w:rsid w:val="00C96F51"/>
    <w:rsid w:val="00C97F7C"/>
    <w:rsid w:val="00CA1F58"/>
    <w:rsid w:val="00CA2B45"/>
    <w:rsid w:val="00CB69C3"/>
    <w:rsid w:val="00CD1867"/>
    <w:rsid w:val="00CD5619"/>
    <w:rsid w:val="00CE30BD"/>
    <w:rsid w:val="00CE58CA"/>
    <w:rsid w:val="00CE764B"/>
    <w:rsid w:val="00D03696"/>
    <w:rsid w:val="00D10BA6"/>
    <w:rsid w:val="00D17743"/>
    <w:rsid w:val="00D22FE7"/>
    <w:rsid w:val="00D25235"/>
    <w:rsid w:val="00D25EB4"/>
    <w:rsid w:val="00D276FD"/>
    <w:rsid w:val="00D3694C"/>
    <w:rsid w:val="00D40153"/>
    <w:rsid w:val="00D45762"/>
    <w:rsid w:val="00D60A29"/>
    <w:rsid w:val="00D64267"/>
    <w:rsid w:val="00D8054B"/>
    <w:rsid w:val="00D8520B"/>
    <w:rsid w:val="00DC656D"/>
    <w:rsid w:val="00DD560A"/>
    <w:rsid w:val="00DE03B5"/>
    <w:rsid w:val="00DE3C34"/>
    <w:rsid w:val="00DF1364"/>
    <w:rsid w:val="00E03E1E"/>
    <w:rsid w:val="00E23225"/>
    <w:rsid w:val="00E40EFA"/>
    <w:rsid w:val="00E414D3"/>
    <w:rsid w:val="00E41FEF"/>
    <w:rsid w:val="00E610B6"/>
    <w:rsid w:val="00E87EC3"/>
    <w:rsid w:val="00EA613D"/>
    <w:rsid w:val="00EB3016"/>
    <w:rsid w:val="00ED658F"/>
    <w:rsid w:val="00EF2CDE"/>
    <w:rsid w:val="00EF316B"/>
    <w:rsid w:val="00EF3572"/>
    <w:rsid w:val="00F026D4"/>
    <w:rsid w:val="00F02A36"/>
    <w:rsid w:val="00F045DF"/>
    <w:rsid w:val="00F047D4"/>
    <w:rsid w:val="00F109EF"/>
    <w:rsid w:val="00F217A2"/>
    <w:rsid w:val="00F26AD2"/>
    <w:rsid w:val="00F32148"/>
    <w:rsid w:val="00F34FA6"/>
    <w:rsid w:val="00F50717"/>
    <w:rsid w:val="00F50A16"/>
    <w:rsid w:val="00F5493B"/>
    <w:rsid w:val="00F55EB3"/>
    <w:rsid w:val="00F61A92"/>
    <w:rsid w:val="00F61CC6"/>
    <w:rsid w:val="00F62522"/>
    <w:rsid w:val="00F628F7"/>
    <w:rsid w:val="00F64C86"/>
    <w:rsid w:val="00F7154B"/>
    <w:rsid w:val="00F749F5"/>
    <w:rsid w:val="00F91C4E"/>
    <w:rsid w:val="00F93612"/>
    <w:rsid w:val="00FB030F"/>
    <w:rsid w:val="00FC0EF7"/>
    <w:rsid w:val="00FC23C3"/>
    <w:rsid w:val="00FC5D5F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8D944-AD6A-4A5F-A10C-2B7F9DE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90040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Слабое выделение1"/>
    <w:uiPriority w:val="99"/>
    <w:qFormat/>
    <w:rsid w:val="00900409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3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560A"/>
    <w:pPr>
      <w:spacing w:after="0" w:line="240" w:lineRule="auto"/>
    </w:pPr>
    <w:rPr>
      <w:lang w:val="en-US"/>
    </w:rPr>
  </w:style>
  <w:style w:type="character" w:styleId="a8">
    <w:name w:val="Hyperlink"/>
    <w:basedOn w:val="a0"/>
    <w:uiPriority w:val="99"/>
    <w:unhideWhenUsed/>
    <w:rsid w:val="00DD560A"/>
    <w:rPr>
      <w:color w:val="0000FF" w:themeColor="hyperlink"/>
      <w:u w:val="single"/>
    </w:rPr>
  </w:style>
  <w:style w:type="paragraph" w:customStyle="1" w:styleId="tt">
    <w:name w:val="tt"/>
    <w:basedOn w:val="a"/>
    <w:rsid w:val="009B17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8D53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header1">
    <w:name w:val="doc_header1"/>
    <w:basedOn w:val="a0"/>
    <w:rsid w:val="00535A2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emit">
    <w:name w:val="emit"/>
    <w:basedOn w:val="a"/>
    <w:rsid w:val="00F0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a"/>
    <w:rsid w:val="00F0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F0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38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18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0C23"/>
  </w:style>
  <w:style w:type="paragraph" w:styleId="ac">
    <w:name w:val="footer"/>
    <w:basedOn w:val="a"/>
    <w:link w:val="ad"/>
    <w:uiPriority w:val="99"/>
    <w:unhideWhenUsed/>
    <w:rsid w:val="0018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0C23"/>
  </w:style>
  <w:style w:type="paragraph" w:customStyle="1" w:styleId="Default">
    <w:name w:val="Default"/>
    <w:rsid w:val="0002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Ala Vizir</cp:lastModifiedBy>
  <cp:revision>13</cp:revision>
  <cp:lastPrinted>2020-02-26T10:28:00Z</cp:lastPrinted>
  <dcterms:created xsi:type="dcterms:W3CDTF">2020-02-11T09:31:00Z</dcterms:created>
  <dcterms:modified xsi:type="dcterms:W3CDTF">2020-03-09T06:39:00Z</dcterms:modified>
</cp:coreProperties>
</file>