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CF7E45" w:rsidRDefault="00663714" w:rsidP="00CF7E45">
      <w:pPr>
        <w:pStyle w:val="BodyText"/>
        <w:jc w:val="center"/>
        <w:rPr>
          <w:szCs w:val="28"/>
        </w:rPr>
      </w:pPr>
      <w:r w:rsidRPr="00663714">
        <w:rPr>
          <w:szCs w:val="28"/>
        </w:rPr>
        <w:t>NOTĂ INFORMATIVĂ</w:t>
      </w:r>
      <w:r w:rsidRPr="00663714">
        <w:rPr>
          <w:szCs w:val="28"/>
        </w:rPr>
        <w:br/>
        <w:t xml:space="preserve">privind necesitatea elaborării proiectului de </w:t>
      </w:r>
      <w:r w:rsidR="00FE2D82">
        <w:rPr>
          <w:szCs w:val="28"/>
        </w:rPr>
        <w:t xml:space="preserve">Ordin cu privire </w:t>
      </w:r>
      <w:r w:rsidR="00CA0D47" w:rsidRPr="00CA0D47">
        <w:rPr>
          <w:szCs w:val="28"/>
        </w:rPr>
        <w:t>la modificarea Ordin</w:t>
      </w:r>
      <w:r w:rsidR="00CA0D47">
        <w:rPr>
          <w:szCs w:val="28"/>
        </w:rPr>
        <w:t>e</w:t>
      </w:r>
      <w:r w:rsidR="00CA0D47" w:rsidRPr="00CA0D47">
        <w:rPr>
          <w:szCs w:val="28"/>
        </w:rPr>
        <w:t xml:space="preserve">lor Ministerului Finanțelor </w:t>
      </w:r>
      <w:r w:rsidR="00CF7E45">
        <w:rPr>
          <w:szCs w:val="28"/>
        </w:rPr>
        <w:t xml:space="preserve">nr.159 din 26.11.2014, </w:t>
      </w:r>
      <w:r w:rsidR="00CA0D47" w:rsidRPr="00CA0D47">
        <w:rPr>
          <w:szCs w:val="28"/>
        </w:rPr>
        <w:t>nr.173</w:t>
      </w:r>
      <w:r w:rsidR="00CF7E45">
        <w:rPr>
          <w:szCs w:val="28"/>
        </w:rPr>
        <w:t>,</w:t>
      </w:r>
      <w:r w:rsidR="00CA0D47" w:rsidRPr="00CA0D47">
        <w:rPr>
          <w:szCs w:val="28"/>
        </w:rPr>
        <w:t xml:space="preserve"> 174</w:t>
      </w:r>
      <w:r w:rsidR="00CF7E45">
        <w:rPr>
          <w:szCs w:val="28"/>
        </w:rPr>
        <w:t>,</w:t>
      </w:r>
      <w:r w:rsidR="00CA0D47" w:rsidRPr="00CA0D47">
        <w:rPr>
          <w:szCs w:val="28"/>
        </w:rPr>
        <w:t xml:space="preserve"> 175</w:t>
      </w:r>
      <w:r w:rsidR="00CF7E45">
        <w:rPr>
          <w:szCs w:val="28"/>
        </w:rPr>
        <w:t>,</w:t>
      </w:r>
      <w:r w:rsidR="00CA0D47" w:rsidRPr="00CA0D47">
        <w:rPr>
          <w:szCs w:val="28"/>
        </w:rPr>
        <w:t xml:space="preserve"> 176 din 05.10.2018 și nr.23 din 06.02.2019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D2687" w:rsidRPr="00915F37" w:rsidTr="00840BC1">
        <w:tc>
          <w:tcPr>
            <w:tcW w:w="9606" w:type="dxa"/>
            <w:shd w:val="clear" w:color="auto" w:fill="BFBFBF" w:themeFill="background1" w:themeFillShade="BF"/>
          </w:tcPr>
          <w:p w:rsidR="003D2687" w:rsidRPr="00922E6D" w:rsidRDefault="003D2687" w:rsidP="003D2687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 xml:space="preserve">Denumirea autorului și, </w:t>
            </w:r>
            <w:r w:rsidRPr="00456A17">
              <w:rPr>
                <w:b/>
                <w:sz w:val="28"/>
                <w:szCs w:val="28"/>
                <w:lang w:val="ro-MD"/>
              </w:rPr>
              <w:t>după caz, a participanților la elaborarea proiectului</w:t>
            </w:r>
          </w:p>
        </w:tc>
      </w:tr>
      <w:tr w:rsidR="003D2687" w:rsidRPr="003D2687" w:rsidTr="003D2687">
        <w:tc>
          <w:tcPr>
            <w:tcW w:w="9606" w:type="dxa"/>
            <w:shd w:val="clear" w:color="auto" w:fill="auto"/>
          </w:tcPr>
          <w:p w:rsidR="003D2687" w:rsidRPr="00456A17" w:rsidRDefault="003D2687" w:rsidP="003D2687">
            <w:pPr>
              <w:jc w:val="both"/>
              <w:rPr>
                <w:sz w:val="28"/>
                <w:szCs w:val="28"/>
                <w:lang w:val="ro-MD"/>
              </w:rPr>
            </w:pPr>
            <w:r w:rsidRPr="00456A17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3D2687" w:rsidRPr="00915F37" w:rsidTr="00840BC1">
        <w:tc>
          <w:tcPr>
            <w:tcW w:w="9606" w:type="dxa"/>
            <w:shd w:val="clear" w:color="auto" w:fill="BFBFBF" w:themeFill="background1" w:themeFillShade="BF"/>
          </w:tcPr>
          <w:p w:rsidR="003D2687" w:rsidRPr="00896AE5" w:rsidRDefault="003D2687" w:rsidP="003D2687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Condițiile ce au impus elaborarea proiectului de act normativ</w:t>
            </w:r>
            <w:r>
              <w:rPr>
                <w:b/>
                <w:sz w:val="28"/>
                <w:szCs w:val="28"/>
                <w:lang w:val="ro-MD"/>
              </w:rPr>
              <w:t xml:space="preserve"> și </w:t>
            </w:r>
            <w:r w:rsidRPr="00896AE5">
              <w:rPr>
                <w:b/>
                <w:sz w:val="28"/>
                <w:szCs w:val="28"/>
                <w:lang w:val="ro-MD"/>
              </w:rPr>
              <w:t>finalitățile urmărite</w:t>
            </w:r>
          </w:p>
        </w:tc>
      </w:tr>
      <w:tr w:rsidR="003D2687" w:rsidRPr="00915F37" w:rsidTr="00601CDB">
        <w:tc>
          <w:tcPr>
            <w:tcW w:w="9606" w:type="dxa"/>
            <w:shd w:val="clear" w:color="auto" w:fill="auto"/>
          </w:tcPr>
          <w:p w:rsidR="00822EFB" w:rsidRDefault="003D2687" w:rsidP="003D2687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Noile </w:t>
            </w:r>
            <w:r w:rsidRPr="00271B10">
              <w:rPr>
                <w:sz w:val="28"/>
                <w:szCs w:val="28"/>
                <w:lang w:val="ro-RO"/>
              </w:rPr>
              <w:t xml:space="preserve">prevederi adoptate la data de </w:t>
            </w:r>
            <w:r w:rsidR="00107DFA">
              <w:rPr>
                <w:sz w:val="28"/>
                <w:szCs w:val="28"/>
                <w:lang w:val="ro-RO"/>
              </w:rPr>
              <w:t>1</w:t>
            </w:r>
            <w:r>
              <w:rPr>
                <w:sz w:val="28"/>
                <w:szCs w:val="28"/>
                <w:lang w:val="ro-RO"/>
              </w:rPr>
              <w:t xml:space="preserve"> decembrie 201</w:t>
            </w:r>
            <w:r w:rsidR="00107DFA">
              <w:rPr>
                <w:sz w:val="28"/>
                <w:szCs w:val="28"/>
                <w:lang w:val="ro-RO"/>
              </w:rPr>
              <w:t>8</w:t>
            </w:r>
            <w:r w:rsidRPr="00267F83">
              <w:rPr>
                <w:sz w:val="28"/>
                <w:szCs w:val="28"/>
                <w:lang w:val="ro-RO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>prin Legea nr.2</w:t>
            </w:r>
            <w:r w:rsidR="00107DFA">
              <w:rPr>
                <w:sz w:val="28"/>
                <w:szCs w:val="28"/>
                <w:lang w:val="ro-RO"/>
              </w:rPr>
              <w:t>29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271B10">
              <w:rPr>
                <w:sz w:val="28"/>
                <w:szCs w:val="28"/>
                <w:lang w:val="ro-RO"/>
              </w:rPr>
              <w:t>de către Parlamentul Republicii Moldova</w:t>
            </w:r>
            <w:r>
              <w:rPr>
                <w:sz w:val="28"/>
                <w:szCs w:val="28"/>
                <w:lang w:val="ro-RO"/>
              </w:rPr>
              <w:t>,</w:t>
            </w:r>
            <w:r w:rsidRPr="00271B10">
              <w:rPr>
                <w:sz w:val="28"/>
                <w:szCs w:val="28"/>
                <w:lang w:val="ro-RO"/>
              </w:rPr>
              <w:t xml:space="preserve"> </w:t>
            </w:r>
            <w:r w:rsidR="00107DFA">
              <w:rPr>
                <w:sz w:val="28"/>
                <w:szCs w:val="28"/>
                <w:lang w:val="ro-RO"/>
              </w:rPr>
              <w:t xml:space="preserve">cu privire la modificarea unor acte legislative, </w:t>
            </w:r>
            <w:r w:rsidR="00781905">
              <w:rPr>
                <w:sz w:val="28"/>
                <w:szCs w:val="28"/>
                <w:lang w:val="ro-RO"/>
              </w:rPr>
              <w:t xml:space="preserve">impun necesitatea modificării </w:t>
            </w:r>
            <w:r>
              <w:rPr>
                <w:sz w:val="28"/>
                <w:szCs w:val="28"/>
                <w:lang w:val="ro-RO"/>
              </w:rPr>
              <w:t>în</w:t>
            </w:r>
            <w:r w:rsidRPr="006F3785">
              <w:rPr>
                <w:sz w:val="28"/>
                <w:szCs w:val="28"/>
                <w:lang w:val="ro-RO"/>
              </w:rPr>
              <w:t>cepând cu 1 iulie 2019, la efectuarea livrării impozabile în cadrul achizițiilor publice pe teritoriul ț</w:t>
            </w:r>
            <w:r>
              <w:rPr>
                <w:sz w:val="28"/>
                <w:szCs w:val="28"/>
                <w:lang w:val="ro-RO"/>
              </w:rPr>
              <w:t>ă</w:t>
            </w:r>
            <w:r w:rsidRPr="006F3785">
              <w:rPr>
                <w:sz w:val="28"/>
                <w:szCs w:val="28"/>
                <w:lang w:val="ro-RO"/>
              </w:rPr>
              <w:t>rii</w:t>
            </w:r>
            <w:r w:rsidR="00822EFB">
              <w:rPr>
                <w:sz w:val="28"/>
                <w:szCs w:val="28"/>
                <w:lang w:val="ro-RO"/>
              </w:rPr>
              <w:t>.</w:t>
            </w:r>
            <w:r w:rsidRPr="006F3785">
              <w:rPr>
                <w:sz w:val="28"/>
                <w:szCs w:val="28"/>
                <w:lang w:val="ro-RO"/>
              </w:rPr>
              <w:t xml:space="preserve"> </w:t>
            </w:r>
          </w:p>
          <w:p w:rsidR="003D2687" w:rsidRPr="00CF7E45" w:rsidRDefault="00822EFB" w:rsidP="00CF7E45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</w:t>
            </w:r>
            <w:r w:rsidR="003D2687" w:rsidRPr="006F3785">
              <w:rPr>
                <w:sz w:val="28"/>
                <w:szCs w:val="28"/>
                <w:lang w:val="ro-RO"/>
              </w:rPr>
              <w:t>ubiectul impozabil este obligat să prezinte cumpărătorului (beneficiarului) pentru livrarea respectivă factura f</w:t>
            </w:r>
            <w:r w:rsidR="003D2687">
              <w:rPr>
                <w:sz w:val="28"/>
                <w:szCs w:val="28"/>
                <w:lang w:val="ro-RO"/>
              </w:rPr>
              <w:t xml:space="preserve">iscală electronică (e-factura), cu excepția </w:t>
            </w:r>
            <w:r w:rsidR="003D2687" w:rsidRPr="006F3785">
              <w:rPr>
                <w:sz w:val="28"/>
                <w:szCs w:val="28"/>
                <w:lang w:val="ro-RO"/>
              </w:rPr>
              <w:t>livrăril</w:t>
            </w:r>
            <w:r w:rsidR="003D2687">
              <w:rPr>
                <w:sz w:val="28"/>
                <w:szCs w:val="28"/>
                <w:lang w:val="ro-RO"/>
              </w:rPr>
              <w:t>or</w:t>
            </w:r>
            <w:r w:rsidR="003D2687" w:rsidRPr="006F3785">
              <w:rPr>
                <w:sz w:val="28"/>
                <w:szCs w:val="28"/>
                <w:lang w:val="ro-RO"/>
              </w:rPr>
              <w:t xml:space="preserve"> de energie electrică, de energie termică, de gaz natural, serviciile de comunicații electronice </w:t>
            </w:r>
            <w:r w:rsidRPr="006F3785">
              <w:rPr>
                <w:sz w:val="28"/>
                <w:szCs w:val="28"/>
                <w:lang w:val="ro-RO"/>
              </w:rPr>
              <w:t>și</w:t>
            </w:r>
            <w:r w:rsidR="003D2687" w:rsidRPr="006F3785">
              <w:rPr>
                <w:sz w:val="28"/>
                <w:szCs w:val="28"/>
                <w:lang w:val="ro-RO"/>
              </w:rPr>
              <w:t xml:space="preserve"> serviciile comunale.</w:t>
            </w:r>
          </w:p>
        </w:tc>
      </w:tr>
      <w:tr w:rsidR="00822EFB" w:rsidRPr="00915F37" w:rsidTr="00840BC1">
        <w:tc>
          <w:tcPr>
            <w:tcW w:w="9606" w:type="dxa"/>
            <w:shd w:val="clear" w:color="auto" w:fill="BFBFBF" w:themeFill="background1" w:themeFillShade="BF"/>
          </w:tcPr>
          <w:p w:rsidR="00822EFB" w:rsidRPr="00922E6D" w:rsidRDefault="00822EFB" w:rsidP="00822EFB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822EFB" w:rsidRPr="00915F37" w:rsidTr="00822EFB">
        <w:tc>
          <w:tcPr>
            <w:tcW w:w="9606" w:type="dxa"/>
            <w:shd w:val="clear" w:color="auto" w:fill="auto"/>
          </w:tcPr>
          <w:p w:rsidR="00822EFB" w:rsidRPr="00332838" w:rsidRDefault="00822EFB" w:rsidP="00822EFB">
            <w:pPr>
              <w:jc w:val="both"/>
              <w:rPr>
                <w:sz w:val="28"/>
                <w:szCs w:val="28"/>
                <w:lang w:val="ro-MD"/>
              </w:rPr>
            </w:pPr>
            <w:r w:rsidRPr="00332838">
              <w:rPr>
                <w:sz w:val="28"/>
                <w:szCs w:val="28"/>
                <w:lang w:val="ro-MD"/>
              </w:rPr>
              <w:t xml:space="preserve">Actul normativ nu are </w:t>
            </w:r>
            <w:r>
              <w:rPr>
                <w:sz w:val="28"/>
                <w:szCs w:val="28"/>
                <w:lang w:val="ro-MD"/>
              </w:rPr>
              <w:t>drept</w:t>
            </w:r>
            <w:r w:rsidRPr="00332838">
              <w:rPr>
                <w:sz w:val="28"/>
                <w:szCs w:val="28"/>
                <w:lang w:val="ro-MD"/>
              </w:rPr>
              <w:t xml:space="preserve"> scop armonizarea legislației naționale cu legislația Uniunii Europene.</w:t>
            </w:r>
          </w:p>
        </w:tc>
      </w:tr>
      <w:tr w:rsidR="00822EFB" w:rsidRPr="00915F37" w:rsidTr="00FC6665">
        <w:tc>
          <w:tcPr>
            <w:tcW w:w="9606" w:type="dxa"/>
            <w:shd w:val="clear" w:color="auto" w:fill="AEAAAA" w:themeFill="background2" w:themeFillShade="BF"/>
          </w:tcPr>
          <w:p w:rsidR="00822EFB" w:rsidRPr="00332838" w:rsidRDefault="00822EFB" w:rsidP="00822EFB">
            <w:pPr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b/>
                <w:sz w:val="28"/>
                <w:szCs w:val="28"/>
                <w:lang w:val="ro-MD"/>
              </w:rPr>
              <w:t>Principalele prevederi ale proiectului și evidențierea elementelor noi</w:t>
            </w:r>
          </w:p>
        </w:tc>
      </w:tr>
      <w:tr w:rsidR="00822EFB" w:rsidRPr="00915F37" w:rsidTr="00822EFB">
        <w:tc>
          <w:tcPr>
            <w:tcW w:w="9606" w:type="dxa"/>
            <w:shd w:val="clear" w:color="auto" w:fill="auto"/>
          </w:tcPr>
          <w:p w:rsidR="00822EFB" w:rsidRPr="00332838" w:rsidRDefault="00FC6665" w:rsidP="00CF7E45">
            <w:pPr>
              <w:jc w:val="both"/>
              <w:rPr>
                <w:sz w:val="28"/>
                <w:szCs w:val="28"/>
                <w:lang w:val="ro-MD"/>
              </w:rPr>
            </w:pPr>
            <w:r w:rsidRPr="000B527C">
              <w:rPr>
                <w:sz w:val="28"/>
                <w:szCs w:val="28"/>
                <w:lang w:val="ro-MD"/>
              </w:rPr>
              <w:t xml:space="preserve">Proiectul </w:t>
            </w:r>
            <w:r>
              <w:rPr>
                <w:sz w:val="28"/>
                <w:szCs w:val="28"/>
                <w:lang w:val="ro-MD"/>
              </w:rPr>
              <w:t xml:space="preserve">de </w:t>
            </w:r>
            <w:r w:rsidRPr="005A35EE">
              <w:rPr>
                <w:sz w:val="28"/>
                <w:szCs w:val="28"/>
                <w:lang w:val="ro-MD"/>
              </w:rPr>
              <w:t xml:space="preserve">Ordin </w:t>
            </w:r>
            <w:r w:rsidRPr="00CA0D47">
              <w:rPr>
                <w:sz w:val="28"/>
                <w:szCs w:val="28"/>
                <w:lang w:val="ro-MD"/>
              </w:rPr>
              <w:t>a fost elaborat în</w:t>
            </w:r>
            <w:r>
              <w:rPr>
                <w:sz w:val="28"/>
                <w:szCs w:val="28"/>
                <w:lang w:val="ro-MD"/>
              </w:rPr>
              <w:t xml:space="preserve"> scopul realizării prevederilor art.117 alin.(1</w:t>
            </w:r>
            <w:r>
              <w:rPr>
                <w:sz w:val="28"/>
                <w:szCs w:val="28"/>
                <w:vertAlign w:val="superscript"/>
                <w:lang w:val="ro-MD"/>
              </w:rPr>
              <w:t>2</w:t>
            </w:r>
            <w:r>
              <w:rPr>
                <w:sz w:val="28"/>
                <w:szCs w:val="28"/>
                <w:lang w:val="ro-MD"/>
              </w:rPr>
              <w:t>) din Codul Fiscal</w:t>
            </w:r>
            <w:r w:rsidRPr="002726B8">
              <w:rPr>
                <w:lang w:val="en-GB"/>
              </w:rPr>
              <w:t xml:space="preserve"> </w:t>
            </w:r>
            <w:r w:rsidRPr="00781C79">
              <w:rPr>
                <w:sz w:val="28"/>
                <w:szCs w:val="28"/>
                <w:lang w:val="ro-MD"/>
              </w:rPr>
              <w:t>nr.1163/1997</w:t>
            </w:r>
            <w:r>
              <w:rPr>
                <w:sz w:val="28"/>
                <w:szCs w:val="28"/>
                <w:lang w:val="ro-MD"/>
              </w:rPr>
              <w:t xml:space="preserve"> și include în </w:t>
            </w:r>
            <w:r w:rsidR="00882900">
              <w:rPr>
                <w:sz w:val="28"/>
                <w:szCs w:val="28"/>
                <w:lang w:val="ro-MD"/>
              </w:rPr>
              <w:t>documentațiile standard, la compartimentele ”formularele de contract”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="00882900">
              <w:rPr>
                <w:sz w:val="28"/>
                <w:szCs w:val="28"/>
                <w:lang w:val="ro-MD"/>
              </w:rPr>
              <w:t xml:space="preserve">prevederile </w:t>
            </w:r>
            <w:r>
              <w:rPr>
                <w:sz w:val="28"/>
                <w:szCs w:val="28"/>
                <w:lang w:val="ro-MD"/>
              </w:rPr>
              <w:t xml:space="preserve">privind </w:t>
            </w:r>
            <w:r w:rsidR="00882900">
              <w:rPr>
                <w:sz w:val="28"/>
                <w:szCs w:val="28"/>
                <w:lang w:val="ro-MD"/>
              </w:rPr>
              <w:t>prezentarea pentru servic</w:t>
            </w:r>
            <w:r w:rsidR="00CF7E45">
              <w:rPr>
                <w:sz w:val="28"/>
                <w:szCs w:val="28"/>
                <w:lang w:val="ro-MD"/>
              </w:rPr>
              <w:t>iile prestate, bunurile livrate și</w:t>
            </w:r>
            <w:r w:rsidR="00882900">
              <w:rPr>
                <w:sz w:val="28"/>
                <w:szCs w:val="28"/>
                <w:lang w:val="ro-MD"/>
              </w:rPr>
              <w:t xml:space="preserve"> lucrările executate</w:t>
            </w:r>
            <w:r w:rsidR="00CF7E45">
              <w:rPr>
                <w:sz w:val="28"/>
                <w:szCs w:val="28"/>
                <w:lang w:val="ro-MD"/>
              </w:rPr>
              <w:t>,</w:t>
            </w:r>
            <w:r w:rsidR="00882900">
              <w:rPr>
                <w:sz w:val="28"/>
                <w:szCs w:val="28"/>
                <w:lang w:val="ro-MD"/>
              </w:rPr>
              <w:t xml:space="preserve"> </w:t>
            </w:r>
            <w:r w:rsidR="00882900" w:rsidRPr="00882900">
              <w:rPr>
                <w:sz w:val="28"/>
                <w:szCs w:val="28"/>
                <w:lang w:val="ro-MD"/>
              </w:rPr>
              <w:t>cu excepția livrărilor de energie electrică, de energie termică, de gaz natural, serviciile de comunicații electronice și serviciile comunale, factur</w:t>
            </w:r>
            <w:r w:rsidR="00CF7E45">
              <w:rPr>
                <w:sz w:val="28"/>
                <w:szCs w:val="28"/>
                <w:lang w:val="ro-MD"/>
              </w:rPr>
              <w:t>ii</w:t>
            </w:r>
            <w:r w:rsidR="00882900" w:rsidRPr="00882900">
              <w:rPr>
                <w:sz w:val="28"/>
                <w:szCs w:val="28"/>
                <w:lang w:val="ro-MD"/>
              </w:rPr>
              <w:t xml:space="preserve"> fiscal</w:t>
            </w:r>
            <w:r w:rsidR="00CF7E45">
              <w:rPr>
                <w:sz w:val="28"/>
                <w:szCs w:val="28"/>
                <w:lang w:val="ro-MD"/>
              </w:rPr>
              <w:t>e</w:t>
            </w:r>
            <w:r w:rsidR="00882900" w:rsidRPr="00882900">
              <w:rPr>
                <w:sz w:val="28"/>
                <w:szCs w:val="28"/>
                <w:lang w:val="ro-MD"/>
              </w:rPr>
              <w:t xml:space="preserve"> electronic</w:t>
            </w:r>
            <w:r w:rsidR="00CF7E45">
              <w:rPr>
                <w:sz w:val="28"/>
                <w:szCs w:val="28"/>
                <w:lang w:val="ro-MD"/>
              </w:rPr>
              <w:t>e</w:t>
            </w:r>
            <w:r w:rsidR="00882900" w:rsidRPr="00882900">
              <w:rPr>
                <w:sz w:val="28"/>
                <w:szCs w:val="28"/>
                <w:lang w:val="ro-MD"/>
              </w:rPr>
              <w:t xml:space="preserve"> (e-factura)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822EFB" w:rsidRPr="00896AE5" w:rsidTr="00840BC1">
        <w:tc>
          <w:tcPr>
            <w:tcW w:w="9606" w:type="dxa"/>
            <w:shd w:val="clear" w:color="auto" w:fill="BFBFBF" w:themeFill="background1" w:themeFillShade="BF"/>
          </w:tcPr>
          <w:p w:rsidR="00822EFB" w:rsidRPr="00896AE5" w:rsidRDefault="00822EFB" w:rsidP="00822EFB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 xml:space="preserve">Fundamentarea </w:t>
            </w:r>
            <w:proofErr w:type="spellStart"/>
            <w:r w:rsidRPr="00896AE5">
              <w:rPr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896AE5">
              <w:rPr>
                <w:b/>
                <w:sz w:val="28"/>
                <w:szCs w:val="28"/>
                <w:lang w:val="ro-MD"/>
              </w:rPr>
              <w:t>-financiară</w:t>
            </w:r>
          </w:p>
        </w:tc>
      </w:tr>
      <w:tr w:rsidR="00822EFB" w:rsidRPr="00915F37" w:rsidTr="00840BC1">
        <w:tc>
          <w:tcPr>
            <w:tcW w:w="9606" w:type="dxa"/>
            <w:shd w:val="clear" w:color="auto" w:fill="FFFFFF" w:themeFill="background1"/>
          </w:tcPr>
          <w:p w:rsidR="00822EFB" w:rsidRPr="00257B0B" w:rsidRDefault="00822EFB" w:rsidP="00822EFB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 w:rsidRPr="00257B0B">
              <w:rPr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 w:rsidR="00822EFB" w:rsidRPr="00915F37" w:rsidTr="00840BC1">
        <w:tc>
          <w:tcPr>
            <w:tcW w:w="9606" w:type="dxa"/>
            <w:shd w:val="clear" w:color="auto" w:fill="BFBFBF" w:themeFill="background1" w:themeFillShade="BF"/>
          </w:tcPr>
          <w:p w:rsidR="00822EFB" w:rsidRPr="00896AE5" w:rsidRDefault="00822EFB" w:rsidP="00822EFB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22EFB" w:rsidRPr="00915F37" w:rsidTr="00840BC1">
        <w:tc>
          <w:tcPr>
            <w:tcW w:w="9606" w:type="dxa"/>
            <w:shd w:val="clear" w:color="auto" w:fill="FFFFFF" w:themeFill="background1"/>
          </w:tcPr>
          <w:p w:rsidR="00822EFB" w:rsidRPr="001B0823" w:rsidRDefault="00822EFB" w:rsidP="00822EFB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 w:rsidRPr="001B0823">
              <w:rPr>
                <w:sz w:val="28"/>
                <w:szCs w:val="28"/>
                <w:lang w:val="ro-RO"/>
              </w:rPr>
              <w:t>Prezentul proiect nu necesită modificarea sau completarea unor alte acte normative în vigoare</w:t>
            </w:r>
          </w:p>
        </w:tc>
      </w:tr>
      <w:tr w:rsidR="00822EFB" w:rsidRPr="00FE2D82" w:rsidTr="00840BC1">
        <w:tc>
          <w:tcPr>
            <w:tcW w:w="9606" w:type="dxa"/>
            <w:shd w:val="clear" w:color="auto" w:fill="BFBFBF" w:themeFill="background1" w:themeFillShade="BF"/>
          </w:tcPr>
          <w:p w:rsidR="00822EFB" w:rsidRPr="00896AE5" w:rsidRDefault="00822EFB" w:rsidP="00822EFB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Avizarea publică a proiectului</w:t>
            </w:r>
          </w:p>
        </w:tc>
      </w:tr>
      <w:tr w:rsidR="00822EFB" w:rsidRPr="00915F37" w:rsidTr="000531ED">
        <w:tc>
          <w:tcPr>
            <w:tcW w:w="9606" w:type="dxa"/>
            <w:shd w:val="clear" w:color="auto" w:fill="FFFFFF" w:themeFill="background1"/>
          </w:tcPr>
          <w:p w:rsidR="00FC6665" w:rsidRPr="00922E6D" w:rsidRDefault="00FC6665" w:rsidP="00FC6665">
            <w:pPr>
              <w:jc w:val="both"/>
              <w:rPr>
                <w:sz w:val="28"/>
                <w:szCs w:val="28"/>
                <w:lang w:val="ro-MD"/>
              </w:rPr>
            </w:pPr>
            <w:r w:rsidRPr="00922E6D">
              <w:rPr>
                <w:sz w:val="28"/>
                <w:szCs w:val="28"/>
                <w:lang w:val="ro-MD"/>
              </w:rPr>
              <w:t>În scopul respec</w:t>
            </w:r>
            <w:r>
              <w:rPr>
                <w:sz w:val="28"/>
                <w:szCs w:val="28"/>
                <w:lang w:val="ro-MD"/>
              </w:rPr>
              <w:t>tării prevederilor Legii nr.239/</w:t>
            </w:r>
            <w:r w:rsidRPr="00922E6D">
              <w:rPr>
                <w:sz w:val="28"/>
                <w:szCs w:val="28"/>
                <w:lang w:val="ro-MD"/>
              </w:rPr>
              <w:t xml:space="preserve">2008 privind transparența în procesul decizional, proiectul </w:t>
            </w:r>
            <w:r w:rsidRPr="00F81513">
              <w:rPr>
                <w:sz w:val="28"/>
                <w:szCs w:val="28"/>
                <w:lang w:val="ro-MD"/>
              </w:rPr>
              <w:t>Ordinului ministrului Finanțelor</w:t>
            </w:r>
            <w:r>
              <w:rPr>
                <w:sz w:val="28"/>
                <w:szCs w:val="28"/>
                <w:lang w:val="ro-MD"/>
              </w:rPr>
              <w:t>,</w:t>
            </w:r>
            <w:r w:rsidRPr="00861E95">
              <w:rPr>
                <w:sz w:val="28"/>
                <w:szCs w:val="28"/>
                <w:lang w:val="ro-MD"/>
              </w:rPr>
              <w:t xml:space="preserve"> </w:t>
            </w:r>
            <w:r w:rsidRPr="00922E6D">
              <w:rPr>
                <w:sz w:val="28"/>
                <w:szCs w:val="28"/>
                <w:lang w:val="ro-MD"/>
              </w:rPr>
              <w:t xml:space="preserve">a fost plasat </w:t>
            </w:r>
            <w:r>
              <w:rPr>
                <w:sz w:val="28"/>
                <w:szCs w:val="28"/>
                <w:lang w:val="ro-MD"/>
              </w:rPr>
              <w:t xml:space="preserve">repetat </w:t>
            </w:r>
            <w:r w:rsidRPr="00922E6D">
              <w:rPr>
                <w:sz w:val="28"/>
                <w:szCs w:val="28"/>
                <w:lang w:val="ro-MD"/>
              </w:rPr>
              <w:t xml:space="preserve">pe pagina web oficială a Ministerului Finanțelor </w:t>
            </w:r>
            <w:hyperlink r:id="rId5" w:history="1">
              <w:r w:rsidRPr="00922E6D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www.mf.gov.md</w:t>
              </w:r>
            </w:hyperlink>
            <w:r w:rsidRPr="00922E6D">
              <w:rPr>
                <w:sz w:val="28"/>
                <w:szCs w:val="28"/>
                <w:lang w:val="ro-MD"/>
              </w:rPr>
              <w:t xml:space="preserve">, în compartimentul „Transparența decizională”, la rubrica „Procesul decizional”, precum și pe portalul </w:t>
            </w:r>
            <w:hyperlink r:id="rId6" w:history="1">
              <w:r w:rsidRPr="00922E6D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www.particip.gov.md</w:t>
              </w:r>
            </w:hyperlink>
            <w:r w:rsidRPr="00922E6D">
              <w:rPr>
                <w:sz w:val="28"/>
                <w:szCs w:val="28"/>
                <w:lang w:val="ro-MD"/>
              </w:rPr>
              <w:t xml:space="preserve">. </w:t>
            </w:r>
          </w:p>
          <w:p w:rsidR="00822EFB" w:rsidRPr="00443D23" w:rsidRDefault="00822EFB" w:rsidP="00822EFB">
            <w:pPr>
              <w:jc w:val="both"/>
              <w:rPr>
                <w:sz w:val="28"/>
                <w:szCs w:val="28"/>
                <w:lang w:val="ro-RO"/>
              </w:rPr>
            </w:pPr>
            <w:r w:rsidRPr="00A22AB2">
              <w:rPr>
                <w:sz w:val="28"/>
                <w:szCs w:val="28"/>
                <w:lang w:val="ro-MD"/>
              </w:rPr>
              <w:t>Proiectul se remite spre avizare</w:t>
            </w:r>
            <w:r>
              <w:rPr>
                <w:sz w:val="28"/>
                <w:szCs w:val="28"/>
                <w:lang w:val="ro-MD"/>
              </w:rPr>
              <w:t xml:space="preserve"> Ministerului Justiției, Agenției Achiziții Publice</w:t>
            </w:r>
            <w:r w:rsidRPr="00D70F39">
              <w:rPr>
                <w:sz w:val="28"/>
                <w:szCs w:val="28"/>
                <w:lang w:val="ro-MD"/>
              </w:rPr>
              <w:t xml:space="preserve">, </w:t>
            </w:r>
            <w:r>
              <w:rPr>
                <w:sz w:val="28"/>
                <w:szCs w:val="28"/>
                <w:lang w:val="ro-MD"/>
              </w:rPr>
              <w:t>Serviciului Fiscal de Stat</w:t>
            </w:r>
            <w:r w:rsidRPr="00D70F39">
              <w:rPr>
                <w:sz w:val="28"/>
                <w:szCs w:val="28"/>
                <w:lang w:val="ro-MD"/>
              </w:rPr>
              <w:t>.</w:t>
            </w:r>
          </w:p>
        </w:tc>
      </w:tr>
    </w:tbl>
    <w:p w:rsidR="00601CDB" w:rsidRPr="00601CDB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AD63E3" w:rsidRPr="00915F37" w:rsidRDefault="00915F37" w:rsidP="00CF7E45">
      <w:pPr>
        <w:rPr>
          <w:color w:val="000000"/>
          <w:sz w:val="28"/>
          <w:szCs w:val="28"/>
          <w:lang w:val="ro-MD" w:bidi="en-US"/>
        </w:rPr>
      </w:pPr>
      <w:r w:rsidRPr="00915F37">
        <w:rPr>
          <w:b/>
          <w:sz w:val="28"/>
          <w:szCs w:val="28"/>
          <w:lang w:val="ro-MD"/>
        </w:rPr>
        <w:t>SECRETAR GENERAL DE STAT</w:t>
      </w:r>
      <w:r w:rsidR="00DF2DAB" w:rsidRPr="00915F37">
        <w:rPr>
          <w:b/>
          <w:sz w:val="28"/>
          <w:szCs w:val="28"/>
          <w:lang w:val="ro-MD"/>
        </w:rPr>
        <w:t xml:space="preserve">        </w:t>
      </w:r>
      <w:r w:rsidR="00CF7E45" w:rsidRPr="00915F37">
        <w:rPr>
          <w:b/>
          <w:sz w:val="28"/>
          <w:szCs w:val="28"/>
          <w:lang w:val="ro-MD"/>
        </w:rPr>
        <w:t xml:space="preserve">          </w:t>
      </w:r>
      <w:r w:rsidRPr="00915F37">
        <w:rPr>
          <w:b/>
          <w:sz w:val="28"/>
          <w:szCs w:val="28"/>
          <w:lang w:val="ro-MD"/>
        </w:rPr>
        <w:t xml:space="preserve">     </w:t>
      </w:r>
      <w:r>
        <w:rPr>
          <w:b/>
          <w:sz w:val="28"/>
          <w:szCs w:val="28"/>
          <w:lang w:val="ro-MD"/>
        </w:rPr>
        <w:t xml:space="preserve">                 </w:t>
      </w:r>
      <w:bookmarkStart w:id="0" w:name="_GoBack"/>
      <w:bookmarkEnd w:id="0"/>
      <w:r w:rsidRPr="00915F37">
        <w:rPr>
          <w:b/>
          <w:sz w:val="28"/>
          <w:szCs w:val="28"/>
          <w:lang w:val="ro-MD"/>
        </w:rPr>
        <w:t xml:space="preserve">   Gabriela CUNEVA</w:t>
      </w:r>
    </w:p>
    <w:sectPr w:rsidR="00AD63E3" w:rsidRPr="00915F37" w:rsidSect="00CF7E45">
      <w:pgSz w:w="11906" w:h="16838"/>
      <w:pgMar w:top="1135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9AD"/>
    <w:multiLevelType w:val="hybridMultilevel"/>
    <w:tmpl w:val="41049940"/>
    <w:lvl w:ilvl="0" w:tplc="A9862D7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2D6E1E5E"/>
    <w:multiLevelType w:val="hybridMultilevel"/>
    <w:tmpl w:val="262837C6"/>
    <w:lvl w:ilvl="0" w:tplc="F0AC9BE2">
      <w:start w:val="1"/>
      <w:numFmt w:val="lowerLetter"/>
      <w:lvlText w:val="%1)"/>
      <w:lvlJc w:val="left"/>
      <w:pPr>
        <w:ind w:left="160" w:hanging="305"/>
      </w:pPr>
      <w:rPr>
        <w:rFonts w:hint="default"/>
        <w:b w:val="0"/>
        <w:i w:val="0"/>
        <w:w w:val="100"/>
        <w:lang w:val="en-US" w:eastAsia="en-US" w:bidi="en-US"/>
      </w:rPr>
    </w:lvl>
    <w:lvl w:ilvl="1" w:tplc="A01A7814">
      <w:numFmt w:val="bullet"/>
      <w:lvlText w:val="•"/>
      <w:lvlJc w:val="left"/>
      <w:pPr>
        <w:ind w:left="1466" w:hanging="305"/>
      </w:pPr>
      <w:rPr>
        <w:rFonts w:hint="default"/>
        <w:lang w:val="en-US" w:eastAsia="en-US" w:bidi="en-US"/>
      </w:rPr>
    </w:lvl>
    <w:lvl w:ilvl="2" w:tplc="F43C3602">
      <w:numFmt w:val="bullet"/>
      <w:lvlText w:val="•"/>
      <w:lvlJc w:val="left"/>
      <w:pPr>
        <w:ind w:left="2772" w:hanging="305"/>
      </w:pPr>
      <w:rPr>
        <w:rFonts w:hint="default"/>
        <w:lang w:val="en-US" w:eastAsia="en-US" w:bidi="en-US"/>
      </w:rPr>
    </w:lvl>
    <w:lvl w:ilvl="3" w:tplc="5DBED096">
      <w:numFmt w:val="bullet"/>
      <w:lvlText w:val="•"/>
      <w:lvlJc w:val="left"/>
      <w:pPr>
        <w:ind w:left="4078" w:hanging="305"/>
      </w:pPr>
      <w:rPr>
        <w:rFonts w:hint="default"/>
        <w:lang w:val="en-US" w:eastAsia="en-US" w:bidi="en-US"/>
      </w:rPr>
    </w:lvl>
    <w:lvl w:ilvl="4" w:tplc="C9B4A460">
      <w:numFmt w:val="bullet"/>
      <w:lvlText w:val="•"/>
      <w:lvlJc w:val="left"/>
      <w:pPr>
        <w:ind w:left="5384" w:hanging="305"/>
      </w:pPr>
      <w:rPr>
        <w:rFonts w:hint="default"/>
        <w:lang w:val="en-US" w:eastAsia="en-US" w:bidi="en-US"/>
      </w:rPr>
    </w:lvl>
    <w:lvl w:ilvl="5" w:tplc="96B2CAAE">
      <w:numFmt w:val="bullet"/>
      <w:lvlText w:val="•"/>
      <w:lvlJc w:val="left"/>
      <w:pPr>
        <w:ind w:left="6690" w:hanging="305"/>
      </w:pPr>
      <w:rPr>
        <w:rFonts w:hint="default"/>
        <w:lang w:val="en-US" w:eastAsia="en-US" w:bidi="en-US"/>
      </w:rPr>
    </w:lvl>
    <w:lvl w:ilvl="6" w:tplc="0FEE990E">
      <w:numFmt w:val="bullet"/>
      <w:lvlText w:val="•"/>
      <w:lvlJc w:val="left"/>
      <w:pPr>
        <w:ind w:left="7996" w:hanging="305"/>
      </w:pPr>
      <w:rPr>
        <w:rFonts w:hint="default"/>
        <w:lang w:val="en-US" w:eastAsia="en-US" w:bidi="en-US"/>
      </w:rPr>
    </w:lvl>
    <w:lvl w:ilvl="7" w:tplc="2D849906">
      <w:numFmt w:val="bullet"/>
      <w:lvlText w:val="•"/>
      <w:lvlJc w:val="left"/>
      <w:pPr>
        <w:ind w:left="9302" w:hanging="305"/>
      </w:pPr>
      <w:rPr>
        <w:rFonts w:hint="default"/>
        <w:lang w:val="en-US" w:eastAsia="en-US" w:bidi="en-US"/>
      </w:rPr>
    </w:lvl>
    <w:lvl w:ilvl="8" w:tplc="E5F6B768">
      <w:numFmt w:val="bullet"/>
      <w:lvlText w:val="•"/>
      <w:lvlJc w:val="left"/>
      <w:pPr>
        <w:ind w:left="10608" w:hanging="305"/>
      </w:pPr>
      <w:rPr>
        <w:rFonts w:hint="default"/>
        <w:lang w:val="en-US" w:eastAsia="en-US" w:bidi="en-US"/>
      </w:rPr>
    </w:lvl>
  </w:abstractNum>
  <w:abstractNum w:abstractNumId="3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473F68"/>
    <w:multiLevelType w:val="hybridMultilevel"/>
    <w:tmpl w:val="0D4EDC32"/>
    <w:lvl w:ilvl="0" w:tplc="DEE808C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E31"/>
    <w:multiLevelType w:val="hybridMultilevel"/>
    <w:tmpl w:val="58C4B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7715B"/>
    <w:multiLevelType w:val="hybridMultilevel"/>
    <w:tmpl w:val="7476410A"/>
    <w:lvl w:ilvl="0" w:tplc="FCE22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249D7"/>
    <w:rsid w:val="00030DEF"/>
    <w:rsid w:val="000531ED"/>
    <w:rsid w:val="000A7D10"/>
    <w:rsid w:val="000B0891"/>
    <w:rsid w:val="000B19A2"/>
    <w:rsid w:val="000B527C"/>
    <w:rsid w:val="000F0FCD"/>
    <w:rsid w:val="000F761B"/>
    <w:rsid w:val="00107DFA"/>
    <w:rsid w:val="00157611"/>
    <w:rsid w:val="0018002B"/>
    <w:rsid w:val="001B0823"/>
    <w:rsid w:val="001E039F"/>
    <w:rsid w:val="0020534D"/>
    <w:rsid w:val="00210F22"/>
    <w:rsid w:val="00215DBD"/>
    <w:rsid w:val="002312E0"/>
    <w:rsid w:val="0024425A"/>
    <w:rsid w:val="00253FA5"/>
    <w:rsid w:val="00257B0B"/>
    <w:rsid w:val="00267F83"/>
    <w:rsid w:val="00271471"/>
    <w:rsid w:val="002726B8"/>
    <w:rsid w:val="0028724F"/>
    <w:rsid w:val="002A51A8"/>
    <w:rsid w:val="002F0164"/>
    <w:rsid w:val="00355E87"/>
    <w:rsid w:val="00394756"/>
    <w:rsid w:val="003A100B"/>
    <w:rsid w:val="003A4306"/>
    <w:rsid w:val="003B474E"/>
    <w:rsid w:val="003B47A9"/>
    <w:rsid w:val="003D2687"/>
    <w:rsid w:val="003D452F"/>
    <w:rsid w:val="003D4784"/>
    <w:rsid w:val="003F4F3F"/>
    <w:rsid w:val="00443D23"/>
    <w:rsid w:val="0047035E"/>
    <w:rsid w:val="004A6B27"/>
    <w:rsid w:val="004E0BFF"/>
    <w:rsid w:val="005635EE"/>
    <w:rsid w:val="00572A75"/>
    <w:rsid w:val="00572CEF"/>
    <w:rsid w:val="00577925"/>
    <w:rsid w:val="005955FD"/>
    <w:rsid w:val="005A35EE"/>
    <w:rsid w:val="005C4E40"/>
    <w:rsid w:val="005D11CD"/>
    <w:rsid w:val="005E2669"/>
    <w:rsid w:val="00601CDB"/>
    <w:rsid w:val="00602DAE"/>
    <w:rsid w:val="006077E8"/>
    <w:rsid w:val="00622A64"/>
    <w:rsid w:val="00637705"/>
    <w:rsid w:val="00652282"/>
    <w:rsid w:val="00663714"/>
    <w:rsid w:val="00663E81"/>
    <w:rsid w:val="00664E06"/>
    <w:rsid w:val="00677912"/>
    <w:rsid w:val="006C4E09"/>
    <w:rsid w:val="006D37D3"/>
    <w:rsid w:val="006D7945"/>
    <w:rsid w:val="006F3785"/>
    <w:rsid w:val="006F797A"/>
    <w:rsid w:val="00734FF4"/>
    <w:rsid w:val="00760B43"/>
    <w:rsid w:val="007658B0"/>
    <w:rsid w:val="00780F5C"/>
    <w:rsid w:val="00781905"/>
    <w:rsid w:val="00781C79"/>
    <w:rsid w:val="00790E2A"/>
    <w:rsid w:val="007A4ABA"/>
    <w:rsid w:val="007C4641"/>
    <w:rsid w:val="007C5FAC"/>
    <w:rsid w:val="007C769B"/>
    <w:rsid w:val="00822EFB"/>
    <w:rsid w:val="008266EE"/>
    <w:rsid w:val="00837174"/>
    <w:rsid w:val="00840BC1"/>
    <w:rsid w:val="008507EF"/>
    <w:rsid w:val="00857A03"/>
    <w:rsid w:val="00860D63"/>
    <w:rsid w:val="00882900"/>
    <w:rsid w:val="00887838"/>
    <w:rsid w:val="008C537C"/>
    <w:rsid w:val="008E3923"/>
    <w:rsid w:val="008E644B"/>
    <w:rsid w:val="008E6661"/>
    <w:rsid w:val="008F1943"/>
    <w:rsid w:val="008F1F29"/>
    <w:rsid w:val="00906C82"/>
    <w:rsid w:val="00911A15"/>
    <w:rsid w:val="00915F37"/>
    <w:rsid w:val="00936803"/>
    <w:rsid w:val="00952E16"/>
    <w:rsid w:val="00955B26"/>
    <w:rsid w:val="00974DF9"/>
    <w:rsid w:val="00981550"/>
    <w:rsid w:val="00994358"/>
    <w:rsid w:val="00995978"/>
    <w:rsid w:val="009B094B"/>
    <w:rsid w:val="009E1262"/>
    <w:rsid w:val="009E7BD4"/>
    <w:rsid w:val="00A12A2C"/>
    <w:rsid w:val="00A13F66"/>
    <w:rsid w:val="00A22AB2"/>
    <w:rsid w:val="00A42B51"/>
    <w:rsid w:val="00A65FCE"/>
    <w:rsid w:val="00A74124"/>
    <w:rsid w:val="00A853B4"/>
    <w:rsid w:val="00AC20A2"/>
    <w:rsid w:val="00AD2CDF"/>
    <w:rsid w:val="00AD63E3"/>
    <w:rsid w:val="00AF3789"/>
    <w:rsid w:val="00B21917"/>
    <w:rsid w:val="00B23C06"/>
    <w:rsid w:val="00B25A0F"/>
    <w:rsid w:val="00B70A32"/>
    <w:rsid w:val="00B94B71"/>
    <w:rsid w:val="00BB6A8F"/>
    <w:rsid w:val="00BD708B"/>
    <w:rsid w:val="00BE3E33"/>
    <w:rsid w:val="00BF64D7"/>
    <w:rsid w:val="00C0307F"/>
    <w:rsid w:val="00C3513F"/>
    <w:rsid w:val="00C54011"/>
    <w:rsid w:val="00CA0D47"/>
    <w:rsid w:val="00CD1116"/>
    <w:rsid w:val="00CE4FB8"/>
    <w:rsid w:val="00CF7E45"/>
    <w:rsid w:val="00D029FA"/>
    <w:rsid w:val="00D21C04"/>
    <w:rsid w:val="00D406C7"/>
    <w:rsid w:val="00D70F39"/>
    <w:rsid w:val="00D74BB2"/>
    <w:rsid w:val="00DE32CA"/>
    <w:rsid w:val="00DF2DAB"/>
    <w:rsid w:val="00DF59B3"/>
    <w:rsid w:val="00E12CDC"/>
    <w:rsid w:val="00E13035"/>
    <w:rsid w:val="00E311AC"/>
    <w:rsid w:val="00E35385"/>
    <w:rsid w:val="00E44092"/>
    <w:rsid w:val="00E538CD"/>
    <w:rsid w:val="00E9613E"/>
    <w:rsid w:val="00E966CB"/>
    <w:rsid w:val="00E97BB2"/>
    <w:rsid w:val="00EB0A0E"/>
    <w:rsid w:val="00EC13F1"/>
    <w:rsid w:val="00EC4C84"/>
    <w:rsid w:val="00EF5104"/>
    <w:rsid w:val="00EF5EE7"/>
    <w:rsid w:val="00EF6E30"/>
    <w:rsid w:val="00EF741A"/>
    <w:rsid w:val="00F07F7F"/>
    <w:rsid w:val="00F10D27"/>
    <w:rsid w:val="00F37E32"/>
    <w:rsid w:val="00F455BF"/>
    <w:rsid w:val="00F90A07"/>
    <w:rsid w:val="00FA0718"/>
    <w:rsid w:val="00FA19D5"/>
    <w:rsid w:val="00FA1ED9"/>
    <w:rsid w:val="00FB3028"/>
    <w:rsid w:val="00FC6665"/>
    <w:rsid w:val="00FD6CC1"/>
    <w:rsid w:val="00FE2D82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D4C9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1"/>
    <w:qFormat/>
    <w:rsid w:val="0035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Cainareanu Sergiu</cp:lastModifiedBy>
  <cp:revision>5</cp:revision>
  <cp:lastPrinted>2019-02-06T14:38:00Z</cp:lastPrinted>
  <dcterms:created xsi:type="dcterms:W3CDTF">2019-06-06T06:26:00Z</dcterms:created>
  <dcterms:modified xsi:type="dcterms:W3CDTF">2019-06-10T10:46:00Z</dcterms:modified>
</cp:coreProperties>
</file>