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8E" w:rsidRDefault="000E268E" w:rsidP="000E268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Notă informativă</w:t>
      </w:r>
    </w:p>
    <w:p w:rsidR="000E268E" w:rsidRPr="000E268E" w:rsidRDefault="000E268E" w:rsidP="000E268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la proiectul Hotărîrii de Guvern cu privire la aprobarea Regulamentului cu privire la modul de operare cu tichetele de masă</w:t>
      </w:r>
    </w:p>
    <w:p w:rsidR="00070273" w:rsidRDefault="00277A23" w:rsidP="00D327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3C04A9">
        <w:rPr>
          <w:rFonts w:ascii="Times New Roman" w:hAnsi="Times New Roman" w:cs="Times New Roman"/>
          <w:i/>
          <w:sz w:val="28"/>
          <w:szCs w:val="28"/>
          <w:lang w:val="ro-MD"/>
        </w:rPr>
        <w:t xml:space="preserve">Proiectul Hotărîrii de Guvern cu privire la aprobarea Regulamentului </w:t>
      </w:r>
      <w:r w:rsidR="00EE78FB" w:rsidRPr="003C04A9">
        <w:rPr>
          <w:rFonts w:ascii="Times New Roman" w:hAnsi="Times New Roman" w:cs="Times New Roman"/>
          <w:i/>
          <w:sz w:val="28"/>
          <w:szCs w:val="28"/>
          <w:lang w:val="ro-MD"/>
        </w:rPr>
        <w:t>cu privire la modul d</w:t>
      </w:r>
      <w:r w:rsidR="00AA620B" w:rsidRPr="003C04A9">
        <w:rPr>
          <w:rFonts w:ascii="Times New Roman" w:hAnsi="Times New Roman" w:cs="Times New Roman"/>
          <w:i/>
          <w:sz w:val="28"/>
          <w:szCs w:val="28"/>
          <w:lang w:val="ro-MD"/>
        </w:rPr>
        <w:t>e operare cu tichetele de masă</w:t>
      </w:r>
      <w:r w:rsidR="00AA620B">
        <w:rPr>
          <w:rFonts w:ascii="Times New Roman" w:hAnsi="Times New Roman" w:cs="Times New Roman"/>
          <w:sz w:val="28"/>
          <w:szCs w:val="28"/>
          <w:lang w:val="ro-MD"/>
        </w:rPr>
        <w:t xml:space="preserve"> a fost elaborat în vederea </w:t>
      </w:r>
      <w:r w:rsidR="00C226B1">
        <w:rPr>
          <w:rFonts w:ascii="Times New Roman" w:hAnsi="Times New Roman" w:cs="Times New Roman"/>
          <w:sz w:val="28"/>
          <w:szCs w:val="28"/>
          <w:lang w:val="ro-MD"/>
        </w:rPr>
        <w:t xml:space="preserve">aplicării </w:t>
      </w:r>
      <w:r w:rsidR="00AA620B">
        <w:rPr>
          <w:rFonts w:ascii="Times New Roman" w:hAnsi="Times New Roman" w:cs="Times New Roman"/>
          <w:sz w:val="28"/>
          <w:szCs w:val="28"/>
          <w:lang w:val="ro-MD"/>
        </w:rPr>
        <w:t xml:space="preserve">prevederilor Legii nr.166 din 21.09.2017 cu privire la tichetele de masă și vine să stabilească regulile pentru toți subiecții care sunt implicați </w:t>
      </w:r>
      <w:r w:rsidR="00B2672E">
        <w:rPr>
          <w:rFonts w:ascii="Times New Roman" w:hAnsi="Times New Roman" w:cs="Times New Roman"/>
          <w:sz w:val="28"/>
          <w:szCs w:val="28"/>
          <w:lang w:val="ro-MD"/>
        </w:rPr>
        <w:t>în schimbul economic la baza căruia stau tichetele de masă</w:t>
      </w:r>
      <w:r>
        <w:rPr>
          <w:rFonts w:ascii="Times New Roman" w:hAnsi="Times New Roman" w:cs="Times New Roman"/>
          <w:sz w:val="28"/>
          <w:szCs w:val="28"/>
          <w:lang w:val="ro-MD"/>
        </w:rPr>
        <w:t>,</w:t>
      </w:r>
      <w:r w:rsidR="00CF45B3">
        <w:rPr>
          <w:rFonts w:ascii="Times New Roman" w:hAnsi="Times New Roman" w:cs="Times New Roman"/>
          <w:sz w:val="28"/>
          <w:szCs w:val="28"/>
          <w:lang w:val="ro-MD"/>
        </w:rPr>
        <w:t xml:space="preserve"> acesta avînd principii și norme clar stabilite care acoperă relațiile angajat-salariat, </w:t>
      </w:r>
      <w:r w:rsidR="00D3270D">
        <w:rPr>
          <w:rFonts w:ascii="Times New Roman" w:hAnsi="Times New Roman" w:cs="Times New Roman"/>
          <w:sz w:val="28"/>
          <w:szCs w:val="28"/>
          <w:lang w:val="ro-MD"/>
        </w:rPr>
        <w:t>operator-unitate comercială, aspectul fiscal cît și dispoziții generale de reglemantare.</w:t>
      </w:r>
      <w:r w:rsidR="00CF45B3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:rsidR="000C18C1" w:rsidRDefault="000C18C1" w:rsidP="003C0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Regulamentul </w:t>
      </w:r>
      <w:r w:rsidR="00452F5B">
        <w:rPr>
          <w:rFonts w:ascii="Times New Roman" w:hAnsi="Times New Roman" w:cs="Times New Roman"/>
          <w:sz w:val="28"/>
          <w:szCs w:val="28"/>
          <w:lang w:val="ro-MD"/>
        </w:rPr>
        <w:t xml:space="preserve">se va aplica asupra: </w:t>
      </w:r>
    </w:p>
    <w:p w:rsidR="000C18C1" w:rsidRDefault="000C18C1" w:rsidP="003C04A9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0C18C1">
        <w:rPr>
          <w:rFonts w:ascii="Times New Roman" w:hAnsi="Times New Roman" w:cs="Times New Roman"/>
          <w:sz w:val="28"/>
          <w:szCs w:val="28"/>
          <w:lang w:val="ro-MD"/>
        </w:rPr>
        <w:t>angajatori</w:t>
      </w:r>
      <w:r w:rsidR="00452F5B">
        <w:rPr>
          <w:rFonts w:ascii="Times New Roman" w:hAnsi="Times New Roman" w:cs="Times New Roman"/>
          <w:sz w:val="28"/>
          <w:szCs w:val="28"/>
          <w:lang w:val="ro-MD"/>
        </w:rPr>
        <w:t>lor</w:t>
      </w:r>
      <w:r w:rsidRPr="000C18C1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care vor acorda tichete de masă; </w:t>
      </w:r>
    </w:p>
    <w:p w:rsidR="000C18C1" w:rsidRDefault="000C18C1" w:rsidP="003C04A9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operatori</w:t>
      </w:r>
      <w:r w:rsidR="00452F5B">
        <w:rPr>
          <w:rFonts w:ascii="Times New Roman" w:hAnsi="Times New Roman" w:cs="Times New Roman"/>
          <w:sz w:val="28"/>
          <w:szCs w:val="28"/>
          <w:lang w:val="ro-MD"/>
        </w:rPr>
        <w:t>lor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care vor imprima și elibera tichetele de masă; </w:t>
      </w:r>
    </w:p>
    <w:p w:rsidR="000C18C1" w:rsidRDefault="000C18C1" w:rsidP="003C04A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unitățil</w:t>
      </w:r>
      <w:r w:rsidR="00452F5B">
        <w:rPr>
          <w:rFonts w:ascii="Times New Roman" w:hAnsi="Times New Roman" w:cs="Times New Roman"/>
          <w:sz w:val="28"/>
          <w:szCs w:val="28"/>
          <w:lang w:val="ro-MD"/>
        </w:rPr>
        <w:t>or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comerciale/de alimentație publică care vor accepta în schimbul bunurilor </w:t>
      </w:r>
      <w:r w:rsidR="007D48BB">
        <w:rPr>
          <w:rFonts w:ascii="Times New Roman" w:hAnsi="Times New Roman" w:cs="Times New Roman"/>
          <w:sz w:val="28"/>
          <w:szCs w:val="28"/>
          <w:lang w:val="ro-MD"/>
        </w:rPr>
        <w:t>comercializate tichete de masă.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:rsidR="00716CCA" w:rsidRDefault="00716CCA" w:rsidP="003C04A9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În Regulament sunt incluse </w:t>
      </w:r>
      <w:r w:rsidR="002C3E4D">
        <w:rPr>
          <w:rFonts w:ascii="Times New Roman" w:hAnsi="Times New Roman" w:cs="Times New Roman"/>
          <w:sz w:val="28"/>
          <w:szCs w:val="28"/>
          <w:lang w:val="ro-MD"/>
        </w:rPr>
        <w:t xml:space="preserve">80 </w:t>
      </w:r>
      <w:r w:rsidR="00E6086B">
        <w:rPr>
          <w:rFonts w:ascii="Times New Roman" w:hAnsi="Times New Roman" w:cs="Times New Roman"/>
          <w:sz w:val="28"/>
          <w:szCs w:val="28"/>
          <w:lang w:val="ro-MD"/>
        </w:rPr>
        <w:t xml:space="preserve">de puncte structurate în următoarele VIII capitole: </w:t>
      </w:r>
    </w:p>
    <w:p w:rsidR="00E6086B" w:rsidRDefault="00E6086B" w:rsidP="00716CCA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3C04A9">
        <w:rPr>
          <w:rFonts w:ascii="Times New Roman" w:hAnsi="Times New Roman" w:cs="Times New Roman"/>
          <w:b/>
          <w:i/>
          <w:sz w:val="28"/>
          <w:szCs w:val="28"/>
          <w:lang w:val="ro-MD"/>
        </w:rPr>
        <w:t xml:space="preserve">Capitolul I: Dispoziții generale. </w:t>
      </w:r>
      <w:r>
        <w:rPr>
          <w:rFonts w:ascii="Times New Roman" w:hAnsi="Times New Roman" w:cs="Times New Roman"/>
          <w:sz w:val="28"/>
          <w:szCs w:val="28"/>
          <w:lang w:val="ro-MD"/>
        </w:rPr>
        <w:t>Aici sunt incluse aspecte general aplicabile pentru toate părțile vizate în regulament. La fel în acest capitol sunt definitivate noțiun</w:t>
      </w:r>
      <w:r w:rsidR="00BF41A3">
        <w:rPr>
          <w:rFonts w:ascii="Times New Roman" w:hAnsi="Times New Roman" w:cs="Times New Roman"/>
          <w:sz w:val="28"/>
          <w:szCs w:val="28"/>
          <w:lang w:val="ro-MD"/>
        </w:rPr>
        <w:t xml:space="preserve">ile importante cu care se operează în regulament în vederea </w:t>
      </w:r>
      <w:r w:rsidR="00A0296E">
        <w:rPr>
          <w:rFonts w:ascii="Times New Roman" w:hAnsi="Times New Roman" w:cs="Times New Roman"/>
          <w:sz w:val="28"/>
          <w:szCs w:val="28"/>
          <w:lang w:val="ro-MD"/>
        </w:rPr>
        <w:t>oferirii unui sens unic a noțiunilor cît și a eliminării ambiguităților.</w:t>
      </w:r>
    </w:p>
    <w:p w:rsidR="00A0296E" w:rsidRDefault="00A0296E" w:rsidP="00716CCA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3C04A9">
        <w:rPr>
          <w:rFonts w:ascii="Times New Roman" w:hAnsi="Times New Roman" w:cs="Times New Roman"/>
          <w:b/>
          <w:i/>
          <w:sz w:val="28"/>
          <w:szCs w:val="28"/>
          <w:lang w:val="ro-MD"/>
        </w:rPr>
        <w:t>Capitolul II: Angajatori.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În acest </w:t>
      </w:r>
      <w:r w:rsidR="00C27589">
        <w:rPr>
          <w:rFonts w:ascii="Times New Roman" w:hAnsi="Times New Roman" w:cs="Times New Roman"/>
          <w:sz w:val="28"/>
          <w:szCs w:val="28"/>
          <w:lang w:val="ro-MD"/>
        </w:rPr>
        <w:t xml:space="preserve">capitol se includ punctele care </w:t>
      </w:r>
      <w:r>
        <w:rPr>
          <w:rFonts w:ascii="Times New Roman" w:hAnsi="Times New Roman" w:cs="Times New Roman"/>
          <w:sz w:val="28"/>
          <w:szCs w:val="28"/>
          <w:lang w:val="ro-MD"/>
        </w:rPr>
        <w:t>î</w:t>
      </w:r>
      <w:r w:rsidR="00C27589">
        <w:rPr>
          <w:rFonts w:ascii="Times New Roman" w:hAnsi="Times New Roman" w:cs="Times New Roman"/>
          <w:sz w:val="28"/>
          <w:szCs w:val="28"/>
          <w:lang w:val="ro-MD"/>
        </w:rPr>
        <w:t>i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vizează pe angajatori în raport cu salariații în procesul de distribuire a tichetelor de masă cît și în raport cu operatorii în procesul de contractare a serviciilor</w:t>
      </w:r>
      <w:r w:rsidR="00A634F8">
        <w:rPr>
          <w:rFonts w:ascii="Times New Roman" w:hAnsi="Times New Roman" w:cs="Times New Roman"/>
          <w:sz w:val="28"/>
          <w:szCs w:val="28"/>
          <w:lang w:val="ro-MD"/>
        </w:rPr>
        <w:t xml:space="preserve"> de printare </w:t>
      </w:r>
      <w:r w:rsidR="00C82997">
        <w:rPr>
          <w:rFonts w:ascii="Times New Roman" w:hAnsi="Times New Roman" w:cs="Times New Roman"/>
          <w:sz w:val="28"/>
          <w:szCs w:val="28"/>
          <w:lang w:val="ro-MD"/>
        </w:rPr>
        <w:t xml:space="preserve">a tichetelor de masă. </w:t>
      </w:r>
    </w:p>
    <w:p w:rsidR="00732D58" w:rsidRDefault="00732D58" w:rsidP="00716CCA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3C04A9">
        <w:rPr>
          <w:rFonts w:ascii="Times New Roman" w:hAnsi="Times New Roman" w:cs="Times New Roman"/>
          <w:b/>
          <w:i/>
          <w:sz w:val="28"/>
          <w:szCs w:val="28"/>
          <w:lang w:val="ro-MD"/>
        </w:rPr>
        <w:t>Capitolul III: Unitățile comerciale/de alimentație publică.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Capitolul dat stabilește procesele și regulile de acceptare a ti</w:t>
      </w:r>
      <w:r w:rsidR="006F749E">
        <w:rPr>
          <w:rFonts w:ascii="Times New Roman" w:hAnsi="Times New Roman" w:cs="Times New Roman"/>
          <w:sz w:val="28"/>
          <w:szCs w:val="28"/>
          <w:lang w:val="ro-MD"/>
        </w:rPr>
        <w:t>ch</w:t>
      </w:r>
      <w:r>
        <w:rPr>
          <w:rFonts w:ascii="Times New Roman" w:hAnsi="Times New Roman" w:cs="Times New Roman"/>
          <w:sz w:val="28"/>
          <w:szCs w:val="28"/>
          <w:lang w:val="ro-MD"/>
        </w:rPr>
        <w:t>etelor de masă de către unitățile comerciale/de alimentație publică.</w:t>
      </w:r>
      <w:r w:rsidR="002814B1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:rsidR="00A63A49" w:rsidRDefault="00A63A49" w:rsidP="00716CCA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3C04A9">
        <w:rPr>
          <w:rFonts w:ascii="Times New Roman" w:hAnsi="Times New Roman" w:cs="Times New Roman"/>
          <w:b/>
          <w:i/>
          <w:sz w:val="28"/>
          <w:szCs w:val="28"/>
          <w:lang w:val="ro-MD"/>
        </w:rPr>
        <w:t>Capitolul IV: Operatorii.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În acest compartiment sunt vizate </w:t>
      </w:r>
      <w:r w:rsidR="005451A0">
        <w:rPr>
          <w:rFonts w:ascii="Times New Roman" w:hAnsi="Times New Roman" w:cs="Times New Roman"/>
          <w:sz w:val="28"/>
          <w:szCs w:val="28"/>
          <w:lang w:val="ro-MD"/>
        </w:rPr>
        <w:t xml:space="preserve">aspectele importante prin care </w:t>
      </w:r>
      <w:r w:rsidR="00D475C0">
        <w:rPr>
          <w:rFonts w:ascii="Times New Roman" w:hAnsi="Times New Roman" w:cs="Times New Roman"/>
          <w:sz w:val="28"/>
          <w:szCs w:val="28"/>
          <w:lang w:val="ro-MD"/>
        </w:rPr>
        <w:t xml:space="preserve">operatorii licențiați pot să emită, să distribuie și să ramburseze contavaloarea tichetelor. </w:t>
      </w:r>
    </w:p>
    <w:p w:rsidR="00277A23" w:rsidRDefault="00277A23" w:rsidP="00716CCA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3C04A9">
        <w:rPr>
          <w:rFonts w:ascii="Times New Roman" w:hAnsi="Times New Roman" w:cs="Times New Roman"/>
          <w:b/>
          <w:i/>
          <w:sz w:val="28"/>
          <w:szCs w:val="28"/>
          <w:lang w:val="ro-MD"/>
        </w:rPr>
        <w:t xml:space="preserve">Capitolul V: Regimul fiscal al tichetelor de masă. 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Acesta reprezintă capitolul ce reglementează aspectele fiscale a tichetelor de masă, deductibilitatea în scopuri fiscale precum și alte generalități. </w:t>
      </w:r>
    </w:p>
    <w:p w:rsidR="00277A23" w:rsidRDefault="00277A23" w:rsidP="00716CCA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3C04A9">
        <w:rPr>
          <w:rFonts w:ascii="Times New Roman" w:hAnsi="Times New Roman" w:cs="Times New Roman"/>
          <w:b/>
          <w:i/>
          <w:sz w:val="28"/>
          <w:szCs w:val="28"/>
          <w:lang w:val="ro-MD"/>
        </w:rPr>
        <w:lastRenderedPageBreak/>
        <w:t xml:space="preserve">Capitolul VI: Monitorizarea tichetelor de masă. </w:t>
      </w:r>
      <w:r w:rsidR="001F4661">
        <w:rPr>
          <w:rFonts w:ascii="Times New Roman" w:hAnsi="Times New Roman" w:cs="Times New Roman"/>
          <w:sz w:val="28"/>
          <w:szCs w:val="28"/>
          <w:lang w:val="ro-MD"/>
        </w:rPr>
        <w:t>Capitolul respectiv vine să stabilească reguli de monitorizarea a tichetelor emise de către Serviciul Fiscal de Stat și modalitatea de raportare de către operatori a valorii tichetelor emise.</w:t>
      </w:r>
    </w:p>
    <w:p w:rsidR="006335E8" w:rsidRDefault="006335E8" w:rsidP="00716CCA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3C04A9">
        <w:rPr>
          <w:rFonts w:ascii="Times New Roman" w:hAnsi="Times New Roman" w:cs="Times New Roman"/>
          <w:b/>
          <w:i/>
          <w:sz w:val="28"/>
          <w:szCs w:val="28"/>
          <w:lang w:val="ro-MD"/>
        </w:rPr>
        <w:t>Capitolul VII: Condițiile de acordare a tichetelor de masă de către angajatorii unităților bugetare.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Vine să stabilească modalitatea de acordare a tichetelor de masă de către instituțiile publice către salariații săi.</w:t>
      </w:r>
    </w:p>
    <w:p w:rsidR="00FD3361" w:rsidRPr="00716CCA" w:rsidRDefault="00FD3361" w:rsidP="00716CCA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3C04A9">
        <w:rPr>
          <w:rFonts w:ascii="Times New Roman" w:hAnsi="Times New Roman" w:cs="Times New Roman"/>
          <w:b/>
          <w:i/>
          <w:sz w:val="28"/>
          <w:szCs w:val="28"/>
          <w:lang w:val="ro-MD"/>
        </w:rPr>
        <w:t xml:space="preserve">Capitolul VIII: </w:t>
      </w:r>
      <w:r w:rsidR="000441E5" w:rsidRPr="003C04A9">
        <w:rPr>
          <w:rFonts w:ascii="Times New Roman" w:hAnsi="Times New Roman" w:cs="Times New Roman"/>
          <w:b/>
          <w:i/>
          <w:sz w:val="28"/>
          <w:szCs w:val="28"/>
          <w:lang w:val="ro-MD"/>
        </w:rPr>
        <w:t xml:space="preserve">Dispoziții finale. </w:t>
      </w:r>
      <w:r w:rsidR="000441E5">
        <w:rPr>
          <w:rFonts w:ascii="Times New Roman" w:hAnsi="Times New Roman" w:cs="Times New Roman"/>
          <w:sz w:val="28"/>
          <w:szCs w:val="28"/>
          <w:lang w:val="ro-MD"/>
        </w:rPr>
        <w:t>Acesta reglementează aspectele generale de operare cu tichetele de masă.</w:t>
      </w:r>
    </w:p>
    <w:p w:rsidR="00061B3B" w:rsidRDefault="003C04A9" w:rsidP="005126D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Astfel</w:t>
      </w:r>
      <w:r w:rsidR="001B620C">
        <w:rPr>
          <w:rFonts w:ascii="Times New Roman" w:hAnsi="Times New Roman" w:cs="Times New Roman"/>
          <w:sz w:val="28"/>
          <w:szCs w:val="28"/>
          <w:lang w:val="ro-MD"/>
        </w:rPr>
        <w:t>,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prin comprehensivitatea acestui Regulament se intenționează ca într-un document unic să fie reglementatea toate aspectele importan</w:t>
      </w:r>
      <w:r w:rsidR="005126D5">
        <w:rPr>
          <w:rFonts w:ascii="Times New Roman" w:hAnsi="Times New Roman" w:cs="Times New Roman"/>
          <w:sz w:val="28"/>
          <w:szCs w:val="28"/>
          <w:lang w:val="ro-MD"/>
        </w:rPr>
        <w:t>te ce ține de tichetele de masă, în special</w:t>
      </w:r>
      <w:r w:rsidR="000C18C1">
        <w:rPr>
          <w:rFonts w:ascii="Times New Roman" w:hAnsi="Times New Roman" w:cs="Times New Roman"/>
          <w:sz w:val="28"/>
          <w:szCs w:val="28"/>
          <w:lang w:val="ro-MD"/>
        </w:rPr>
        <w:t xml:space="preserve"> se prevăd a fi stabilite norme clare de deducere în scopuri fiscale a valorii nominale a tichetelor de masă în limita stabilită </w:t>
      </w:r>
      <w:r w:rsidR="007D5A9F">
        <w:rPr>
          <w:rFonts w:ascii="Times New Roman" w:hAnsi="Times New Roman" w:cs="Times New Roman"/>
          <w:sz w:val="28"/>
          <w:szCs w:val="28"/>
          <w:lang w:val="ro-MD"/>
        </w:rPr>
        <w:t>în Legea nr.166 din 21.09.2017 precum și implicațiile Serviciului Fiscal de Stat.</w:t>
      </w:r>
    </w:p>
    <w:p w:rsidR="00510C89" w:rsidRPr="000C18C1" w:rsidRDefault="00CB335B" w:rsidP="00B70E5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La elaborarea documentelui respectiv </w:t>
      </w:r>
      <w:r w:rsidR="00776E47">
        <w:rPr>
          <w:rFonts w:ascii="Times New Roman" w:hAnsi="Times New Roman" w:cs="Times New Roman"/>
          <w:sz w:val="28"/>
          <w:szCs w:val="28"/>
          <w:lang w:val="ro-MD"/>
        </w:rPr>
        <w:t xml:space="preserve">au fost luate în calcul principii de aplicare corecte a legislație în vigoare, prudență și ehidistanță, astfel asigurînd toate părțile implicate cu reguli </w:t>
      </w:r>
      <w:r w:rsidR="00F226A0">
        <w:rPr>
          <w:rFonts w:ascii="Times New Roman" w:hAnsi="Times New Roman" w:cs="Times New Roman"/>
          <w:sz w:val="28"/>
          <w:szCs w:val="28"/>
          <w:lang w:val="ro-MD"/>
        </w:rPr>
        <w:t>distincte</w:t>
      </w:r>
      <w:r w:rsidR="00776E47">
        <w:rPr>
          <w:rFonts w:ascii="Times New Roman" w:hAnsi="Times New Roman" w:cs="Times New Roman"/>
          <w:sz w:val="28"/>
          <w:szCs w:val="28"/>
          <w:lang w:val="ro-MD"/>
        </w:rPr>
        <w:t xml:space="preserve"> și bine definite.</w:t>
      </w:r>
      <w:r w:rsidR="00B70E5F">
        <w:rPr>
          <w:rFonts w:ascii="Times New Roman" w:hAnsi="Times New Roman" w:cs="Times New Roman"/>
          <w:sz w:val="28"/>
          <w:szCs w:val="28"/>
          <w:lang w:val="ro-MD"/>
        </w:rPr>
        <w:t xml:space="preserve"> Astfel, p</w:t>
      </w:r>
      <w:r w:rsidR="00510C89" w:rsidRPr="00510C89">
        <w:rPr>
          <w:rFonts w:ascii="Times New Roman" w:hAnsi="Times New Roman" w:cs="Times New Roman"/>
          <w:sz w:val="28"/>
          <w:szCs w:val="28"/>
          <w:lang w:val="ro-MD"/>
        </w:rPr>
        <w:t xml:space="preserve">rintre cele mai importante caracteristici </w:t>
      </w:r>
      <w:r w:rsidR="00510C89">
        <w:rPr>
          <w:rFonts w:ascii="Times New Roman" w:hAnsi="Times New Roman" w:cs="Times New Roman"/>
          <w:sz w:val="28"/>
          <w:szCs w:val="28"/>
          <w:lang w:val="ro-MD"/>
        </w:rPr>
        <w:t xml:space="preserve">enumerate </w:t>
      </w:r>
      <w:r w:rsidR="00B70E5F">
        <w:rPr>
          <w:rFonts w:ascii="Times New Roman" w:hAnsi="Times New Roman" w:cs="Times New Roman"/>
          <w:sz w:val="28"/>
          <w:szCs w:val="28"/>
          <w:lang w:val="ro-MD"/>
        </w:rPr>
        <w:t>fiind:</w:t>
      </w:r>
      <w:r w:rsidR="00510C8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510C89" w:rsidRPr="00510C89">
        <w:rPr>
          <w:rFonts w:ascii="Times New Roman" w:hAnsi="Times New Roman" w:cs="Times New Roman"/>
          <w:sz w:val="28"/>
          <w:szCs w:val="28"/>
          <w:lang w:val="ro-MD"/>
        </w:rPr>
        <w:t xml:space="preserve">numărul tichetelor transmise salariatului este acelaşi cu numărul zilelor lucrate efectiv </w:t>
      </w:r>
      <w:r w:rsidR="00B70E5F">
        <w:rPr>
          <w:rFonts w:ascii="Times New Roman" w:hAnsi="Times New Roman" w:cs="Times New Roman"/>
          <w:sz w:val="28"/>
          <w:szCs w:val="28"/>
          <w:lang w:val="ro-MD"/>
        </w:rPr>
        <w:t xml:space="preserve">în </w:t>
      </w:r>
      <w:r w:rsidR="00510C89" w:rsidRPr="00510C89">
        <w:rPr>
          <w:rFonts w:ascii="Times New Roman" w:hAnsi="Times New Roman" w:cs="Times New Roman"/>
          <w:sz w:val="28"/>
          <w:szCs w:val="28"/>
          <w:lang w:val="ro-MD"/>
        </w:rPr>
        <w:t>luna anterioară. De asemenea, tichetele de masă nu sunt transmisibile, dreptul de a le utiliza fiind deţinut exclusiv de salariat. Aceste tichete pot fi utilizate doar cu scopul de a cumpăra produse alimentare, excluzând băuturile alcoolice şi articolele de tutun.</w:t>
      </w:r>
      <w:r w:rsidR="00B70E5F">
        <w:rPr>
          <w:rFonts w:ascii="Times New Roman" w:hAnsi="Times New Roman" w:cs="Times New Roman"/>
          <w:sz w:val="28"/>
          <w:szCs w:val="28"/>
          <w:lang w:val="ro-MD"/>
        </w:rPr>
        <w:t xml:space="preserve"> La fel acest Regulament prevede că este</w:t>
      </w:r>
      <w:r w:rsidR="00510C89" w:rsidRPr="00510C89">
        <w:rPr>
          <w:rFonts w:ascii="Times New Roman" w:hAnsi="Times New Roman" w:cs="Times New Roman"/>
          <w:sz w:val="28"/>
          <w:szCs w:val="28"/>
          <w:lang w:val="ro-MD"/>
        </w:rPr>
        <w:t xml:space="preserve"> interzi</w:t>
      </w:r>
      <w:r w:rsidR="00B70E5F">
        <w:rPr>
          <w:rFonts w:ascii="Times New Roman" w:hAnsi="Times New Roman" w:cs="Times New Roman"/>
          <w:sz w:val="28"/>
          <w:szCs w:val="28"/>
          <w:lang w:val="ro-MD"/>
        </w:rPr>
        <w:t>s</w:t>
      </w:r>
      <w:r w:rsidR="00510C89" w:rsidRPr="00510C89">
        <w:rPr>
          <w:rFonts w:ascii="Times New Roman" w:hAnsi="Times New Roman" w:cs="Times New Roman"/>
          <w:sz w:val="28"/>
          <w:szCs w:val="28"/>
          <w:lang w:val="ro-MD"/>
        </w:rPr>
        <w:t xml:space="preserve"> schimbul tichetelor de </w:t>
      </w:r>
      <w:r w:rsidR="00B70E5F">
        <w:rPr>
          <w:rFonts w:ascii="Times New Roman" w:hAnsi="Times New Roman" w:cs="Times New Roman"/>
          <w:sz w:val="28"/>
          <w:szCs w:val="28"/>
          <w:lang w:val="ro-MD"/>
        </w:rPr>
        <w:t xml:space="preserve">masă contra mijloacelor băneşti cît și extragerea și depunerea mijloacelor bănești </w:t>
      </w:r>
      <w:r w:rsidR="00F5223E">
        <w:rPr>
          <w:rFonts w:ascii="Times New Roman" w:hAnsi="Times New Roman" w:cs="Times New Roman"/>
          <w:sz w:val="28"/>
          <w:szCs w:val="28"/>
          <w:lang w:val="ro-MD"/>
        </w:rPr>
        <w:t>de pe suportul electronic.</w:t>
      </w:r>
      <w:bookmarkStart w:id="0" w:name="_GoBack"/>
      <w:bookmarkEnd w:id="0"/>
    </w:p>
    <w:sectPr w:rsidR="00510C89" w:rsidRPr="000C1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D273F"/>
    <w:multiLevelType w:val="hybridMultilevel"/>
    <w:tmpl w:val="FC6E9FBC"/>
    <w:lvl w:ilvl="0" w:tplc="75AA7EA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AB"/>
    <w:rsid w:val="000441E5"/>
    <w:rsid w:val="00061B3B"/>
    <w:rsid w:val="00070273"/>
    <w:rsid w:val="000C18C1"/>
    <w:rsid w:val="000E268E"/>
    <w:rsid w:val="000F36AB"/>
    <w:rsid w:val="00113030"/>
    <w:rsid w:val="001B620C"/>
    <w:rsid w:val="001E594D"/>
    <w:rsid w:val="001F4661"/>
    <w:rsid w:val="00277A23"/>
    <w:rsid w:val="002814B1"/>
    <w:rsid w:val="002C3E4D"/>
    <w:rsid w:val="002C5BF8"/>
    <w:rsid w:val="002E27A7"/>
    <w:rsid w:val="003A3D7E"/>
    <w:rsid w:val="003C04A9"/>
    <w:rsid w:val="003C4076"/>
    <w:rsid w:val="004206BF"/>
    <w:rsid w:val="00423090"/>
    <w:rsid w:val="00452F5B"/>
    <w:rsid w:val="004B4080"/>
    <w:rsid w:val="004F5238"/>
    <w:rsid w:val="00503E52"/>
    <w:rsid w:val="00510C89"/>
    <w:rsid w:val="005126D5"/>
    <w:rsid w:val="00517DCD"/>
    <w:rsid w:val="005451A0"/>
    <w:rsid w:val="005E54F2"/>
    <w:rsid w:val="006335E8"/>
    <w:rsid w:val="006C28F8"/>
    <w:rsid w:val="006F749E"/>
    <w:rsid w:val="00716CCA"/>
    <w:rsid w:val="00732D58"/>
    <w:rsid w:val="0075240C"/>
    <w:rsid w:val="00776E47"/>
    <w:rsid w:val="00794B8A"/>
    <w:rsid w:val="007D48BB"/>
    <w:rsid w:val="007D5A9F"/>
    <w:rsid w:val="009A2680"/>
    <w:rsid w:val="00A0296E"/>
    <w:rsid w:val="00A634F8"/>
    <w:rsid w:val="00A63A49"/>
    <w:rsid w:val="00AA620B"/>
    <w:rsid w:val="00B2672E"/>
    <w:rsid w:val="00B70E5F"/>
    <w:rsid w:val="00BF41A3"/>
    <w:rsid w:val="00C226B1"/>
    <w:rsid w:val="00C27589"/>
    <w:rsid w:val="00C82997"/>
    <w:rsid w:val="00CB335B"/>
    <w:rsid w:val="00CD7A0B"/>
    <w:rsid w:val="00CF45B3"/>
    <w:rsid w:val="00D3270D"/>
    <w:rsid w:val="00D475C0"/>
    <w:rsid w:val="00DE652B"/>
    <w:rsid w:val="00E6086B"/>
    <w:rsid w:val="00EE78FB"/>
    <w:rsid w:val="00F226A0"/>
    <w:rsid w:val="00F5223E"/>
    <w:rsid w:val="00FD20E3"/>
    <w:rsid w:val="00FD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2BCA2"/>
  <w15:chartTrackingRefBased/>
  <w15:docId w15:val="{77F96F10-B006-4CD3-B588-B3BCD23F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20C"/>
    <w:rPr>
      <w:rFonts w:ascii="Segoe UI" w:hAnsi="Segoe UI" w:cs="Segoe UI"/>
      <w:noProof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Ublut</dc:creator>
  <cp:keywords/>
  <dc:description/>
  <cp:lastModifiedBy>Catana Inga</cp:lastModifiedBy>
  <cp:revision>72</cp:revision>
  <cp:lastPrinted>2017-12-28T12:09:00Z</cp:lastPrinted>
  <dcterms:created xsi:type="dcterms:W3CDTF">2017-12-18T12:52:00Z</dcterms:created>
  <dcterms:modified xsi:type="dcterms:W3CDTF">2017-12-29T06:06:00Z</dcterms:modified>
</cp:coreProperties>
</file>