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E289F" w14:textId="77777777" w:rsidR="00545589" w:rsidRPr="00CE2DFD" w:rsidRDefault="00545589" w:rsidP="00CE2DFD">
      <w:pPr>
        <w:pStyle w:val="NormalWeb"/>
        <w:tabs>
          <w:tab w:val="left" w:pos="-142"/>
        </w:tabs>
        <w:spacing w:before="0" w:beforeAutospacing="0" w:after="0" w:afterAutospacing="0"/>
        <w:jc w:val="center"/>
        <w:rPr>
          <w:b/>
          <w:sz w:val="28"/>
          <w:szCs w:val="28"/>
          <w:lang w:eastAsia="en-GB"/>
        </w:rPr>
      </w:pPr>
      <w:r w:rsidRPr="00CE2DFD">
        <w:rPr>
          <w:b/>
          <w:sz w:val="28"/>
          <w:szCs w:val="28"/>
          <w:lang w:eastAsia="en-GB"/>
        </w:rPr>
        <w:t>Notă informativă</w:t>
      </w:r>
    </w:p>
    <w:p w14:paraId="33E93CA5" w14:textId="77777777" w:rsidR="00CE2DFD" w:rsidRPr="00CE2DFD" w:rsidRDefault="00545589" w:rsidP="00CE2DFD">
      <w:pPr>
        <w:spacing w:after="0" w:line="240" w:lineRule="auto"/>
        <w:jc w:val="center"/>
        <w:rPr>
          <w:rFonts w:ascii="Times New Roman" w:hAnsi="Times New Roman" w:cs="Times New Roman"/>
          <w:b/>
          <w:sz w:val="28"/>
          <w:szCs w:val="28"/>
          <w:lang w:val="ro-RO"/>
        </w:rPr>
      </w:pPr>
      <w:r w:rsidRPr="00CE2DFD">
        <w:rPr>
          <w:rFonts w:ascii="Times New Roman" w:hAnsi="Times New Roman" w:cs="Times New Roman"/>
          <w:b/>
          <w:sz w:val="28"/>
          <w:szCs w:val="28"/>
        </w:rPr>
        <w:t xml:space="preserve">la </w:t>
      </w:r>
      <w:proofErr w:type="spellStart"/>
      <w:r w:rsidRPr="00CE2DFD">
        <w:rPr>
          <w:rFonts w:ascii="Times New Roman" w:hAnsi="Times New Roman" w:cs="Times New Roman"/>
          <w:b/>
          <w:sz w:val="28"/>
          <w:szCs w:val="28"/>
        </w:rPr>
        <w:t>proiectul</w:t>
      </w:r>
      <w:proofErr w:type="spellEnd"/>
      <w:r w:rsidRPr="00CE2DFD">
        <w:rPr>
          <w:rFonts w:ascii="Times New Roman" w:hAnsi="Times New Roman" w:cs="Times New Roman"/>
          <w:b/>
          <w:sz w:val="28"/>
          <w:szCs w:val="28"/>
        </w:rPr>
        <w:t xml:space="preserve"> </w:t>
      </w:r>
      <w:proofErr w:type="spellStart"/>
      <w:r w:rsidRPr="00CE2DFD">
        <w:rPr>
          <w:rFonts w:ascii="Times New Roman" w:hAnsi="Times New Roman" w:cs="Times New Roman"/>
          <w:b/>
          <w:sz w:val="28"/>
          <w:szCs w:val="28"/>
        </w:rPr>
        <w:t>Hotărîrii</w:t>
      </w:r>
      <w:proofErr w:type="spellEnd"/>
      <w:r w:rsidRPr="00CE2DFD">
        <w:rPr>
          <w:rFonts w:ascii="Times New Roman" w:hAnsi="Times New Roman" w:cs="Times New Roman"/>
          <w:b/>
          <w:sz w:val="28"/>
          <w:szCs w:val="28"/>
        </w:rPr>
        <w:t xml:space="preserve"> </w:t>
      </w:r>
      <w:proofErr w:type="spellStart"/>
      <w:r w:rsidRPr="00CE2DFD">
        <w:rPr>
          <w:rFonts w:ascii="Times New Roman" w:hAnsi="Times New Roman" w:cs="Times New Roman"/>
          <w:b/>
          <w:sz w:val="28"/>
          <w:szCs w:val="28"/>
        </w:rPr>
        <w:t>Guvernului</w:t>
      </w:r>
      <w:proofErr w:type="spellEnd"/>
      <w:r w:rsidRPr="00CE2DFD">
        <w:rPr>
          <w:rFonts w:ascii="Times New Roman" w:hAnsi="Times New Roman" w:cs="Times New Roman"/>
          <w:b/>
          <w:sz w:val="28"/>
          <w:szCs w:val="28"/>
        </w:rPr>
        <w:t xml:space="preserve"> </w:t>
      </w:r>
      <w:r w:rsidR="00CE2DFD">
        <w:rPr>
          <w:rFonts w:ascii="Times New Roman" w:hAnsi="Times New Roman" w:cs="Times New Roman"/>
          <w:b/>
          <w:sz w:val="28"/>
          <w:szCs w:val="28"/>
          <w:lang w:val="ro-RO"/>
        </w:rPr>
        <w:t>c</w:t>
      </w:r>
      <w:r w:rsidR="00CE2DFD" w:rsidRPr="00CE2DFD">
        <w:rPr>
          <w:rFonts w:ascii="Times New Roman" w:hAnsi="Times New Roman" w:cs="Times New Roman"/>
          <w:b/>
          <w:sz w:val="28"/>
          <w:szCs w:val="28"/>
          <w:lang w:val="ro-RO"/>
        </w:rPr>
        <w:t>u privire la modificarea Regulamentului de aplicare a destinațiilor</w:t>
      </w:r>
      <w:r w:rsidR="00CE2DFD">
        <w:rPr>
          <w:rFonts w:ascii="Times New Roman" w:hAnsi="Times New Roman" w:cs="Times New Roman"/>
          <w:b/>
          <w:sz w:val="28"/>
          <w:szCs w:val="28"/>
          <w:lang w:val="ro-RO"/>
        </w:rPr>
        <w:t xml:space="preserve"> </w:t>
      </w:r>
      <w:r w:rsidR="00CE2DFD" w:rsidRPr="00CE2DFD">
        <w:rPr>
          <w:rFonts w:ascii="Times New Roman" w:hAnsi="Times New Roman" w:cs="Times New Roman"/>
          <w:b/>
          <w:sz w:val="28"/>
          <w:szCs w:val="28"/>
          <w:lang w:val="ro-RO"/>
        </w:rPr>
        <w:t>vamale prevăzute de Codul vamal al Republicii Moldova,</w:t>
      </w:r>
    </w:p>
    <w:p w14:paraId="15C85A77" w14:textId="77777777" w:rsidR="00CE2DFD" w:rsidRPr="00CE2DFD" w:rsidRDefault="00CE2DFD" w:rsidP="00CE2DFD">
      <w:pPr>
        <w:spacing w:after="0" w:line="240" w:lineRule="auto"/>
        <w:jc w:val="center"/>
        <w:rPr>
          <w:rFonts w:ascii="Times New Roman" w:hAnsi="Times New Roman" w:cs="Times New Roman"/>
          <w:sz w:val="28"/>
          <w:szCs w:val="28"/>
          <w:lang w:val="ro-RO"/>
        </w:rPr>
      </w:pPr>
      <w:r w:rsidRPr="00CE2DFD">
        <w:rPr>
          <w:rFonts w:ascii="Times New Roman" w:hAnsi="Times New Roman" w:cs="Times New Roman"/>
          <w:b/>
          <w:sz w:val="28"/>
          <w:szCs w:val="28"/>
          <w:lang w:val="ro-RO"/>
        </w:rPr>
        <w:t>aprobat prin Hotărîrea Guvernului nr.1140/2005</w:t>
      </w:r>
    </w:p>
    <w:p w14:paraId="42433683" w14:textId="77777777" w:rsidR="00545589" w:rsidRPr="00980C1E" w:rsidRDefault="00545589" w:rsidP="00CE2DFD">
      <w:pPr>
        <w:pStyle w:val="NormalWeb"/>
        <w:tabs>
          <w:tab w:val="left" w:pos="-142"/>
        </w:tabs>
        <w:spacing w:before="0" w:beforeAutospacing="0" w:after="0" w:afterAutospacing="0"/>
        <w:jc w:val="center"/>
        <w:rPr>
          <w:b/>
          <w:sz w:val="28"/>
          <w:szCs w:val="28"/>
          <w:lang w:eastAsia="en-GB"/>
        </w:rPr>
      </w:pPr>
    </w:p>
    <w:tbl>
      <w:tblPr>
        <w:tblpPr w:leftFromText="180" w:rightFromText="180" w:vertAnchor="text" w:horzAnchor="margin" w:tblpXSpec="center" w:tblpY="58"/>
        <w:tblW w:w="5385" w:type="pct"/>
        <w:tblCellMar>
          <w:top w:w="15" w:type="dxa"/>
          <w:left w:w="15" w:type="dxa"/>
          <w:bottom w:w="15" w:type="dxa"/>
          <w:right w:w="15" w:type="dxa"/>
        </w:tblCellMar>
        <w:tblLook w:val="04A0" w:firstRow="1" w:lastRow="0" w:firstColumn="1" w:lastColumn="0" w:noHBand="0" w:noVBand="1"/>
      </w:tblPr>
      <w:tblGrid>
        <w:gridCol w:w="10340"/>
      </w:tblGrid>
      <w:tr w:rsidR="00545589" w:rsidRPr="00980C1E" w14:paraId="35991C1C"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8F0AAB" w14:textId="77777777" w:rsidR="00545589" w:rsidRPr="00980C1E" w:rsidRDefault="00545589" w:rsidP="005D2623">
            <w:pPr>
              <w:spacing w:after="0" w:line="240" w:lineRule="auto"/>
              <w:ind w:right="100"/>
              <w:jc w:val="both"/>
              <w:rPr>
                <w:rFonts w:ascii="Times New Roman" w:eastAsia="Times New Roman" w:hAnsi="Times New Roman" w:cs="Times New Roman"/>
                <w:b/>
                <w:sz w:val="28"/>
                <w:szCs w:val="28"/>
                <w:lang w:val="ro-RO" w:eastAsia="en-GB"/>
              </w:rPr>
            </w:pPr>
            <w:r w:rsidRPr="00980C1E">
              <w:rPr>
                <w:rFonts w:ascii="Times New Roman" w:eastAsia="Times New Roman" w:hAnsi="Times New Roman" w:cs="Times New Roman"/>
                <w:b/>
                <w:bCs/>
                <w:sz w:val="28"/>
                <w:szCs w:val="28"/>
                <w:lang w:val="ro-RO" w:eastAsia="en-GB"/>
              </w:rPr>
              <w:t>1.</w:t>
            </w:r>
            <w:r w:rsidRPr="00980C1E">
              <w:rPr>
                <w:rFonts w:ascii="Times New Roman" w:eastAsia="Times New Roman" w:hAnsi="Times New Roman" w:cs="Times New Roman"/>
                <w:b/>
                <w:sz w:val="28"/>
                <w:szCs w:val="28"/>
                <w:lang w:val="ro-RO" w:eastAsia="en-GB"/>
              </w:rPr>
              <w:t xml:space="preserve"> Denumirea autorului şi, după caz, a participan</w:t>
            </w:r>
            <w:r w:rsidR="005D2623">
              <w:rPr>
                <w:rFonts w:ascii="Times New Roman" w:eastAsia="Times New Roman" w:hAnsi="Times New Roman" w:cs="Times New Roman"/>
                <w:b/>
                <w:sz w:val="28"/>
                <w:szCs w:val="28"/>
                <w:lang w:val="ro-RO" w:eastAsia="en-GB"/>
              </w:rPr>
              <w:t>ți</w:t>
            </w:r>
            <w:r w:rsidRPr="00980C1E">
              <w:rPr>
                <w:rFonts w:ascii="Times New Roman" w:eastAsia="Times New Roman" w:hAnsi="Times New Roman" w:cs="Times New Roman"/>
                <w:b/>
                <w:sz w:val="28"/>
                <w:szCs w:val="28"/>
                <w:lang w:val="ro-RO" w:eastAsia="en-GB"/>
              </w:rPr>
              <w:t>lor la elaborarea proiectului</w:t>
            </w:r>
          </w:p>
        </w:tc>
      </w:tr>
      <w:tr w:rsidR="00545589" w:rsidRPr="00980C1E" w14:paraId="7BC6F2CD"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D83DC8" w14:textId="77777777" w:rsidR="00545589" w:rsidRPr="00980C1E" w:rsidRDefault="00545589" w:rsidP="002851E2">
            <w:pPr>
              <w:tabs>
                <w:tab w:val="left" w:pos="82"/>
              </w:tabs>
              <w:spacing w:after="0" w:line="240" w:lineRule="auto"/>
              <w:ind w:right="100" w:firstLine="507"/>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sz w:val="28"/>
                <w:szCs w:val="28"/>
                <w:lang w:val="ro-RO" w:eastAsia="en-GB"/>
              </w:rPr>
              <w:t> </w:t>
            </w:r>
            <w:r w:rsidRPr="00980C1E">
              <w:rPr>
                <w:rFonts w:ascii="Times New Roman" w:eastAsia="Times New Roman" w:hAnsi="Times New Roman" w:cs="Times New Roman"/>
                <w:sz w:val="28"/>
                <w:szCs w:val="28"/>
                <w:lang w:val="ro-RO" w:eastAsia="en-GB"/>
              </w:rPr>
              <w:tab/>
              <w:t>Prezentul proiect de hotărîre este elaborat</w:t>
            </w:r>
            <w:r w:rsidR="00E70AA3">
              <w:rPr>
                <w:rFonts w:ascii="Times New Roman" w:eastAsia="Times New Roman" w:hAnsi="Times New Roman" w:cs="Times New Roman"/>
                <w:sz w:val="28"/>
                <w:szCs w:val="28"/>
                <w:lang w:val="ro-RO" w:eastAsia="en-GB"/>
              </w:rPr>
              <w:t xml:space="preserve"> de către Minist</w:t>
            </w:r>
            <w:r w:rsidR="002851E2">
              <w:rPr>
                <w:rFonts w:ascii="Times New Roman" w:eastAsia="Times New Roman" w:hAnsi="Times New Roman" w:cs="Times New Roman"/>
                <w:sz w:val="28"/>
                <w:szCs w:val="28"/>
                <w:lang w:val="ro-RO" w:eastAsia="en-GB"/>
              </w:rPr>
              <w:t>erul Finanțelor (Serviciul Vamal)</w:t>
            </w:r>
            <w:r w:rsidR="00E70AA3">
              <w:rPr>
                <w:rFonts w:ascii="Times New Roman" w:eastAsia="Times New Roman" w:hAnsi="Times New Roman" w:cs="Times New Roman"/>
                <w:sz w:val="28"/>
                <w:szCs w:val="28"/>
                <w:lang w:val="ro-RO" w:eastAsia="en-GB"/>
              </w:rPr>
              <w:t>.</w:t>
            </w:r>
          </w:p>
        </w:tc>
      </w:tr>
      <w:tr w:rsidR="00545589" w:rsidRPr="00980C1E" w14:paraId="1395CB6D"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5D97D0" w14:textId="77777777" w:rsidR="00545589" w:rsidRPr="00980C1E" w:rsidRDefault="00545589" w:rsidP="005D2623">
            <w:pPr>
              <w:spacing w:after="0" w:line="240" w:lineRule="auto"/>
              <w:ind w:right="100"/>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b/>
                <w:bCs/>
                <w:sz w:val="28"/>
                <w:szCs w:val="28"/>
                <w:lang w:val="ro-RO" w:eastAsia="en-GB"/>
              </w:rPr>
              <w:t>2.</w:t>
            </w:r>
            <w:r w:rsidRPr="00980C1E">
              <w:rPr>
                <w:rFonts w:ascii="Times New Roman" w:eastAsia="Times New Roman" w:hAnsi="Times New Roman" w:cs="Times New Roman"/>
                <w:b/>
                <w:sz w:val="28"/>
                <w:szCs w:val="28"/>
                <w:lang w:val="ro-RO" w:eastAsia="en-GB"/>
              </w:rPr>
              <w:t xml:space="preserve"> Condi</w:t>
            </w:r>
            <w:r w:rsidR="006D58EC">
              <w:rPr>
                <w:rFonts w:ascii="Times New Roman" w:eastAsia="Times New Roman" w:hAnsi="Times New Roman" w:cs="Times New Roman"/>
                <w:b/>
                <w:sz w:val="28"/>
                <w:szCs w:val="28"/>
                <w:lang w:val="ro-RO" w:eastAsia="en-GB"/>
              </w:rPr>
              <w:t>ț</w:t>
            </w:r>
            <w:r w:rsidRPr="00980C1E">
              <w:rPr>
                <w:rFonts w:ascii="Times New Roman" w:eastAsia="Times New Roman" w:hAnsi="Times New Roman" w:cs="Times New Roman"/>
                <w:b/>
                <w:sz w:val="28"/>
                <w:szCs w:val="28"/>
                <w:lang w:val="ro-RO" w:eastAsia="en-GB"/>
              </w:rPr>
              <w:t>iile ce au impus elaborarea proiectului de act normativ şi finalită</w:t>
            </w:r>
            <w:r w:rsidR="005D2623">
              <w:rPr>
                <w:rFonts w:ascii="Times New Roman" w:eastAsia="Times New Roman" w:hAnsi="Times New Roman" w:cs="Times New Roman"/>
                <w:b/>
                <w:sz w:val="28"/>
                <w:szCs w:val="28"/>
                <w:lang w:val="ro-RO" w:eastAsia="en-GB"/>
              </w:rPr>
              <w:t>ț</w:t>
            </w:r>
            <w:r w:rsidRPr="00980C1E">
              <w:rPr>
                <w:rFonts w:ascii="Times New Roman" w:eastAsia="Times New Roman" w:hAnsi="Times New Roman" w:cs="Times New Roman"/>
                <w:b/>
                <w:sz w:val="28"/>
                <w:szCs w:val="28"/>
                <w:lang w:val="ro-RO" w:eastAsia="en-GB"/>
              </w:rPr>
              <w:t>ile urmărite</w:t>
            </w:r>
          </w:p>
        </w:tc>
      </w:tr>
      <w:tr w:rsidR="00545589" w:rsidRPr="00980C1E" w14:paraId="7B579472" w14:textId="77777777" w:rsidTr="006D58EC">
        <w:trPr>
          <w:trHeight w:val="670"/>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A9C54C" w14:textId="77777777" w:rsidR="005D2623" w:rsidRPr="003B2DE5" w:rsidRDefault="005D2623" w:rsidP="003B2DE5">
            <w:pPr>
              <w:spacing w:after="0" w:line="240" w:lineRule="auto"/>
              <w:ind w:right="76" w:firstLine="540"/>
              <w:jc w:val="both"/>
              <w:rPr>
                <w:rFonts w:ascii="Times New Roman" w:hAnsi="Times New Roman"/>
                <w:sz w:val="28"/>
                <w:szCs w:val="28"/>
                <w:lang w:val="ro-RO"/>
              </w:rPr>
            </w:pPr>
            <w:r w:rsidRPr="00980C1E">
              <w:rPr>
                <w:rFonts w:ascii="Times New Roman" w:hAnsi="Times New Roman" w:cs="Times New Roman"/>
                <w:sz w:val="28"/>
                <w:szCs w:val="28"/>
                <w:lang w:val="ro-RO"/>
              </w:rPr>
              <w:t>Modificările la Regulamentul de aplicare a destinațiilor vamale prevăzute de Codul Vamal al Republicii Moldova, aprobat prin Hotărîre</w:t>
            </w:r>
            <w:bookmarkStart w:id="0" w:name="_GoBack"/>
            <w:bookmarkEnd w:id="0"/>
            <w:r w:rsidRPr="00980C1E">
              <w:rPr>
                <w:rFonts w:ascii="Times New Roman" w:hAnsi="Times New Roman" w:cs="Times New Roman"/>
                <w:sz w:val="28"/>
                <w:szCs w:val="28"/>
                <w:lang w:val="ro-RO"/>
              </w:rPr>
              <w:t>a Guvernului nr.1140/2005</w:t>
            </w:r>
            <w:r>
              <w:rPr>
                <w:rFonts w:ascii="Times New Roman" w:hAnsi="Times New Roman" w:cs="Times New Roman"/>
                <w:sz w:val="28"/>
                <w:szCs w:val="28"/>
                <w:lang w:val="ro-RO"/>
              </w:rPr>
              <w:t xml:space="preserve"> su</w:t>
            </w:r>
            <w:r w:rsidRPr="00980C1E">
              <w:rPr>
                <w:rFonts w:ascii="Times New Roman" w:hAnsi="Times New Roman" w:cs="Times New Roman"/>
                <w:sz w:val="28"/>
                <w:szCs w:val="28"/>
                <w:lang w:val="ro-RO"/>
              </w:rPr>
              <w:t xml:space="preserve">nt condiționate de necesitatea </w:t>
            </w:r>
            <w:r w:rsidRPr="00980C1E">
              <w:rPr>
                <w:rFonts w:ascii="Times New Roman" w:hAnsi="Times New Roman" w:cs="Times New Roman"/>
                <w:bCs/>
                <w:sz w:val="28"/>
                <w:szCs w:val="28"/>
                <w:lang w:val="ro-RO"/>
              </w:rPr>
              <w:t xml:space="preserve">asigurării corecte și temeinice a procesului de supraveghere și evidență a mărfurilor </w:t>
            </w:r>
            <w:r w:rsidRPr="003B2DE5">
              <w:rPr>
                <w:rFonts w:ascii="Times New Roman" w:hAnsi="Times New Roman"/>
                <w:sz w:val="28"/>
                <w:szCs w:val="28"/>
                <w:lang w:val="ro-RO"/>
              </w:rPr>
              <w:t>plasate în regimurile vamale suspensive de perfecționare activă/perfecționare pasivă</w:t>
            </w:r>
            <w:r w:rsidR="00123E40" w:rsidRPr="003B2DE5">
              <w:rPr>
                <w:rFonts w:ascii="Times New Roman" w:hAnsi="Times New Roman"/>
                <w:sz w:val="28"/>
                <w:szCs w:val="28"/>
                <w:lang w:val="ro-RO"/>
              </w:rPr>
              <w:t>, admitere temporară, precum</w:t>
            </w:r>
            <w:r w:rsidRPr="003B2DE5">
              <w:rPr>
                <w:rFonts w:ascii="Times New Roman" w:hAnsi="Times New Roman"/>
                <w:sz w:val="28"/>
                <w:szCs w:val="28"/>
                <w:lang w:val="ro-RO"/>
              </w:rPr>
              <w:t xml:space="preserve"> și întru asigurarea aplicării uniforme a prevederilor Regulamentului menționat supra.</w:t>
            </w:r>
          </w:p>
          <w:p w14:paraId="3002F75C" w14:textId="77777777" w:rsidR="00F52886" w:rsidRDefault="00123E40" w:rsidP="003B2DE5">
            <w:pPr>
              <w:ind w:right="100" w:firstLine="540"/>
              <w:contextualSpacing/>
              <w:jc w:val="both"/>
              <w:rPr>
                <w:rFonts w:ascii="Times New Roman" w:hAnsi="Times New Roman"/>
                <w:sz w:val="28"/>
                <w:szCs w:val="28"/>
                <w:lang w:val="ro-RO"/>
              </w:rPr>
            </w:pPr>
            <w:r>
              <w:rPr>
                <w:rFonts w:ascii="Times New Roman" w:hAnsi="Times New Roman"/>
                <w:sz w:val="28"/>
                <w:szCs w:val="28"/>
                <w:lang w:val="ro-RO"/>
              </w:rPr>
              <w:t>Astfel</w:t>
            </w:r>
            <w:r w:rsidR="00F52886" w:rsidRPr="00980C1E">
              <w:rPr>
                <w:rFonts w:ascii="Times New Roman" w:hAnsi="Times New Roman"/>
                <w:sz w:val="28"/>
                <w:szCs w:val="28"/>
                <w:lang w:val="ro-RO"/>
              </w:rPr>
              <w:t xml:space="preserve">, în vederea asigurării corectitudinii acordării regimului vamal de admitere temporară, de către birourile vamale, la unele categorii de mărfuri </w:t>
            </w:r>
            <w:r w:rsidR="00F52886">
              <w:rPr>
                <w:rFonts w:ascii="Times New Roman" w:hAnsi="Times New Roman"/>
                <w:sz w:val="28"/>
                <w:szCs w:val="28"/>
                <w:lang w:val="ro-RO"/>
              </w:rPr>
              <w:t>ș</w:t>
            </w:r>
            <w:r w:rsidR="00F52886" w:rsidRPr="00980C1E">
              <w:rPr>
                <w:rFonts w:ascii="Times New Roman" w:hAnsi="Times New Roman"/>
                <w:sz w:val="28"/>
                <w:szCs w:val="28"/>
                <w:lang w:val="ro-RO"/>
              </w:rPr>
              <w:t xml:space="preserve">i în special la cutiile din carton, plastic, lemn, etc., a fost stabilită necesitatea racordării cadrului legal național la prevederile legislației internaționale și anume la Convenția </w:t>
            </w:r>
            <w:r w:rsidR="003B2DE5" w:rsidRPr="003B2DE5">
              <w:rPr>
                <w:rFonts w:ascii="Times New Roman" w:hAnsi="Times New Roman"/>
                <w:sz w:val="28"/>
                <w:szCs w:val="28"/>
                <w:lang w:val="ro-RO"/>
              </w:rPr>
              <w:t>privind admiterea temporară încheiată la Istanbul la data de 26 iunie 1990.</w:t>
            </w:r>
            <w:r w:rsidR="00B60FD2">
              <w:rPr>
                <w:rFonts w:ascii="Times New Roman" w:hAnsi="Times New Roman"/>
                <w:sz w:val="28"/>
                <w:szCs w:val="28"/>
                <w:lang w:val="ro-RO"/>
              </w:rPr>
              <w:t xml:space="preserve"> </w:t>
            </w:r>
          </w:p>
          <w:p w14:paraId="7CD85CE9" w14:textId="77777777" w:rsidR="00CC26A6" w:rsidRPr="00E97FE4" w:rsidRDefault="007A57B1" w:rsidP="003B2DE5">
            <w:pPr>
              <w:ind w:right="100" w:firstLine="540"/>
              <w:contextualSpacing/>
              <w:jc w:val="both"/>
              <w:rPr>
                <w:rFonts w:ascii="Times New Roman" w:hAnsi="Times New Roman"/>
                <w:sz w:val="28"/>
                <w:szCs w:val="28"/>
                <w:lang w:val="ro-RO"/>
              </w:rPr>
            </w:pPr>
            <w:r>
              <w:rPr>
                <w:rFonts w:ascii="Times New Roman" w:hAnsi="Times New Roman"/>
                <w:sz w:val="28"/>
                <w:szCs w:val="28"/>
                <w:lang w:val="ro-RO"/>
              </w:rPr>
              <w:t xml:space="preserve">Totodată, </w:t>
            </w:r>
            <w:r w:rsidR="00AC7583">
              <w:rPr>
                <w:rFonts w:ascii="Times New Roman" w:hAnsi="Times New Roman"/>
                <w:sz w:val="28"/>
                <w:szCs w:val="28"/>
                <w:lang w:val="ro-RO"/>
              </w:rPr>
              <w:t>proiectul conține prevederi de simplificare a procedurii de introducere și scoatere a mărfurilor</w:t>
            </w:r>
            <w:r w:rsidR="00F678F6">
              <w:rPr>
                <w:rFonts w:ascii="Times New Roman" w:hAnsi="Times New Roman"/>
                <w:sz w:val="28"/>
                <w:szCs w:val="28"/>
                <w:lang w:val="ro-RO"/>
              </w:rPr>
              <w:t xml:space="preserve"> autohtone</w:t>
            </w:r>
            <w:r w:rsidR="00AC7583">
              <w:rPr>
                <w:rFonts w:ascii="Times New Roman" w:hAnsi="Times New Roman"/>
                <w:sz w:val="28"/>
                <w:szCs w:val="28"/>
                <w:lang w:val="ro-RO"/>
              </w:rPr>
              <w:t xml:space="preserve"> pe/de pe teritoriul zonelor libere, cu scopul de a </w:t>
            </w:r>
            <w:r w:rsidR="006D02FE">
              <w:rPr>
                <w:rFonts w:ascii="Times New Roman" w:hAnsi="Times New Roman"/>
                <w:sz w:val="28"/>
                <w:szCs w:val="28"/>
                <w:lang w:val="ro-RO"/>
              </w:rPr>
              <w:t>crea</w:t>
            </w:r>
            <w:r w:rsidR="00E97FE4" w:rsidRPr="00E97FE4">
              <w:rPr>
                <w:rFonts w:ascii="Times New Roman" w:hAnsi="Times New Roman"/>
                <w:sz w:val="28"/>
                <w:szCs w:val="28"/>
                <w:lang w:val="ro-RO"/>
              </w:rPr>
              <w:t xml:space="preserve"> condiții optime </w:t>
            </w:r>
            <w:r w:rsidR="00E97FE4">
              <w:rPr>
                <w:rFonts w:ascii="Times New Roman" w:hAnsi="Times New Roman"/>
                <w:sz w:val="28"/>
                <w:szCs w:val="28"/>
                <w:lang w:val="ro-RO"/>
              </w:rPr>
              <w:t>ș</w:t>
            </w:r>
            <w:r w:rsidR="00E97FE4" w:rsidRPr="00E97FE4">
              <w:rPr>
                <w:rFonts w:ascii="Times New Roman" w:hAnsi="Times New Roman"/>
                <w:sz w:val="28"/>
                <w:szCs w:val="28"/>
                <w:lang w:val="ro-RO"/>
              </w:rPr>
              <w:t>i egale în desfă</w:t>
            </w:r>
            <w:r w:rsidR="00E97FE4">
              <w:rPr>
                <w:rFonts w:ascii="Times New Roman" w:hAnsi="Times New Roman"/>
                <w:sz w:val="28"/>
                <w:szCs w:val="28"/>
                <w:lang w:val="ro-RO"/>
              </w:rPr>
              <w:t>ș</w:t>
            </w:r>
            <w:r w:rsidR="00E97FE4" w:rsidRPr="00E97FE4">
              <w:rPr>
                <w:rFonts w:ascii="Times New Roman" w:hAnsi="Times New Roman"/>
                <w:sz w:val="28"/>
                <w:szCs w:val="28"/>
                <w:lang w:val="ro-RO"/>
              </w:rPr>
              <w:t>urarea activității de întreprinzător.</w:t>
            </w:r>
          </w:p>
          <w:p w14:paraId="13714458" w14:textId="65350E22" w:rsidR="00545589" w:rsidRPr="002C117B" w:rsidRDefault="00F52886" w:rsidP="003D18B1">
            <w:pPr>
              <w:spacing w:after="0" w:line="240" w:lineRule="auto"/>
              <w:ind w:firstLine="601"/>
              <w:jc w:val="both"/>
              <w:rPr>
                <w:rFonts w:ascii="Times New Roman" w:hAnsi="Times New Roman" w:cs="Times New Roman"/>
                <w:sz w:val="28"/>
                <w:szCs w:val="28"/>
                <w:lang w:val="ro-RO"/>
              </w:rPr>
            </w:pPr>
            <w:r w:rsidRPr="00E97FE4">
              <w:rPr>
                <w:rFonts w:ascii="Times New Roman" w:hAnsi="Times New Roman"/>
                <w:sz w:val="28"/>
                <w:szCs w:val="28"/>
                <w:lang w:val="ro-RO"/>
              </w:rPr>
              <w:t>De asemenea</w:t>
            </w:r>
            <w:r w:rsidR="00F8077D">
              <w:rPr>
                <w:rFonts w:ascii="Times New Roman" w:hAnsi="Times New Roman"/>
                <w:sz w:val="28"/>
                <w:szCs w:val="28"/>
                <w:lang w:val="ro-RO"/>
              </w:rPr>
              <w:t>,</w:t>
            </w:r>
            <w:r w:rsidRPr="00E97FE4">
              <w:rPr>
                <w:rFonts w:ascii="Times New Roman" w:hAnsi="Times New Roman"/>
                <w:sz w:val="28"/>
                <w:szCs w:val="28"/>
                <w:lang w:val="ro-RO"/>
              </w:rPr>
              <w:t xml:space="preserve"> se propune racordarea prevederilor</w:t>
            </w:r>
            <w:r>
              <w:rPr>
                <w:rFonts w:ascii="Times New Roman" w:hAnsi="Times New Roman" w:cs="Times New Roman"/>
                <w:sz w:val="28"/>
                <w:szCs w:val="28"/>
                <w:lang w:val="ro-RO"/>
              </w:rPr>
              <w:t xml:space="preserve"> Secțiunii 11 din Regulamentul respectiv, ce țin de aplicarea destinației vamale magazinul duty-free, în conformitate cu modificările operate în Codul vamal prin Legea nr.119/2019 cu privire la modificarea unor acte legislative și Legea nr.171/2019 cu privire la modificarea unor acte legislative.</w:t>
            </w:r>
          </w:p>
        </w:tc>
      </w:tr>
      <w:tr w:rsidR="00545589" w:rsidRPr="00980C1E" w14:paraId="557713E7" w14:textId="77777777" w:rsidTr="00545589">
        <w:trPr>
          <w:trHeight w:val="545"/>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E6C742" w14:textId="77777777" w:rsidR="00545589" w:rsidRPr="00980C1E" w:rsidRDefault="00545589" w:rsidP="00F254A6">
            <w:pPr>
              <w:spacing w:after="0" w:line="240" w:lineRule="auto"/>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b/>
                <w:bCs/>
                <w:sz w:val="28"/>
                <w:szCs w:val="28"/>
                <w:lang w:val="ro-RO" w:eastAsia="en-GB"/>
              </w:rPr>
              <w:t>3.</w:t>
            </w:r>
            <w:r w:rsidRPr="00980C1E">
              <w:rPr>
                <w:rFonts w:ascii="Times New Roman" w:eastAsia="Times New Roman" w:hAnsi="Times New Roman" w:cs="Times New Roman"/>
                <w:sz w:val="28"/>
                <w:szCs w:val="28"/>
                <w:lang w:val="ro-RO" w:eastAsia="en-GB"/>
              </w:rPr>
              <w:t xml:space="preserve"> </w:t>
            </w:r>
            <w:r w:rsidRPr="00980C1E">
              <w:rPr>
                <w:rFonts w:ascii="Times New Roman" w:eastAsia="Times New Roman" w:hAnsi="Times New Roman" w:cs="Times New Roman"/>
                <w:b/>
                <w:sz w:val="28"/>
                <w:szCs w:val="28"/>
                <w:lang w:val="ro-RO" w:eastAsia="en-GB"/>
              </w:rPr>
              <w:t>Descrierea gradului de compatibilitate pentru proiectele care au ca scop armonizarea legislaţiei naţionale cu legislaţia Uniunii Europene</w:t>
            </w:r>
          </w:p>
        </w:tc>
      </w:tr>
      <w:tr w:rsidR="00545589" w:rsidRPr="00980C1E" w14:paraId="3B70FDCA"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437875" w14:textId="77777777" w:rsidR="00545589" w:rsidRPr="00980C1E" w:rsidRDefault="00545589" w:rsidP="006F2EF6">
            <w:pPr>
              <w:spacing w:after="0" w:line="240" w:lineRule="auto"/>
              <w:ind w:firstLine="507"/>
              <w:jc w:val="both"/>
              <w:rPr>
                <w:rFonts w:ascii="Times New Roman" w:hAnsi="Times New Roman" w:cs="Times New Roman"/>
                <w:sz w:val="28"/>
                <w:szCs w:val="28"/>
                <w:lang w:val="ro-RO" w:eastAsia="en-GB"/>
              </w:rPr>
            </w:pPr>
            <w:r w:rsidRPr="00980C1E">
              <w:rPr>
                <w:rFonts w:ascii="Times New Roman" w:eastAsia="Times New Roman" w:hAnsi="Times New Roman" w:cs="Times New Roman"/>
                <w:sz w:val="28"/>
                <w:szCs w:val="28"/>
                <w:lang w:val="ro-RO" w:eastAsia="en-GB"/>
              </w:rPr>
              <w:t> Proiectul de hotărîre nu are drept scop armonizarea legislației naționale cu legislația Uniunii Europene.</w:t>
            </w:r>
          </w:p>
        </w:tc>
      </w:tr>
      <w:tr w:rsidR="00545589" w:rsidRPr="00980C1E" w14:paraId="3AAB1AF0"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C50DB0" w14:textId="77777777" w:rsidR="00545589" w:rsidRPr="00980C1E" w:rsidRDefault="00545589" w:rsidP="00F254A6">
            <w:pPr>
              <w:spacing w:after="0" w:line="240" w:lineRule="auto"/>
              <w:rPr>
                <w:rFonts w:ascii="Times New Roman" w:eastAsia="Times New Roman" w:hAnsi="Times New Roman" w:cs="Times New Roman"/>
                <w:b/>
                <w:sz w:val="28"/>
                <w:szCs w:val="28"/>
                <w:lang w:val="ro-RO" w:eastAsia="en-GB"/>
              </w:rPr>
            </w:pPr>
            <w:r w:rsidRPr="00980C1E">
              <w:rPr>
                <w:rFonts w:ascii="Times New Roman" w:eastAsia="Times New Roman" w:hAnsi="Times New Roman" w:cs="Times New Roman"/>
                <w:b/>
                <w:bCs/>
                <w:sz w:val="28"/>
                <w:szCs w:val="28"/>
                <w:lang w:val="ro-RO" w:eastAsia="en-GB"/>
              </w:rPr>
              <w:t>4.</w:t>
            </w:r>
            <w:r w:rsidRPr="00980C1E">
              <w:rPr>
                <w:rFonts w:ascii="Times New Roman" w:eastAsia="Times New Roman" w:hAnsi="Times New Roman" w:cs="Times New Roman"/>
                <w:b/>
                <w:sz w:val="28"/>
                <w:szCs w:val="28"/>
                <w:lang w:val="ro-RO" w:eastAsia="en-GB"/>
              </w:rPr>
              <w:t xml:space="preserve"> Principalele prevederi ale proiectului și evidențierea elementelor noi</w:t>
            </w:r>
          </w:p>
        </w:tc>
      </w:tr>
      <w:tr w:rsidR="00545589" w:rsidRPr="00980C1E" w14:paraId="3E00551E" w14:textId="77777777" w:rsidTr="00233D9E">
        <w:trPr>
          <w:trHeight w:val="1377"/>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13548B8" w14:textId="3F6C0F62" w:rsidR="002C117B" w:rsidRPr="00CC516C" w:rsidRDefault="00CC516C" w:rsidP="008577C6">
            <w:pPr>
              <w:spacing w:after="0" w:line="240" w:lineRule="auto"/>
              <w:ind w:right="97" w:firstLine="507"/>
              <w:jc w:val="both"/>
              <w:rPr>
                <w:rFonts w:ascii="Times New Roman" w:hAnsi="Times New Roman" w:cs="Times New Roman"/>
                <w:sz w:val="28"/>
                <w:szCs w:val="28"/>
                <w:lang w:val="ro-RO"/>
              </w:rPr>
            </w:pPr>
            <w:r w:rsidRPr="00CC516C">
              <w:rPr>
                <w:rFonts w:ascii="Times New Roman" w:hAnsi="Times New Roman" w:cs="Times New Roman"/>
                <w:bCs/>
                <w:sz w:val="28"/>
                <w:szCs w:val="28"/>
                <w:lang w:val="ro-RO"/>
              </w:rPr>
              <w:t>Potrivit prevederilor</w:t>
            </w:r>
            <w:r w:rsidR="002C117B" w:rsidRPr="00CC516C">
              <w:rPr>
                <w:rFonts w:ascii="Times New Roman" w:hAnsi="Times New Roman" w:cs="Times New Roman"/>
                <w:bCs/>
                <w:sz w:val="28"/>
                <w:szCs w:val="28"/>
                <w:lang w:val="ro-RO"/>
              </w:rPr>
              <w:t xml:space="preserve"> pct.191 și pct.301 din </w:t>
            </w:r>
            <w:r w:rsidR="002C117B" w:rsidRPr="00CC516C">
              <w:rPr>
                <w:rFonts w:ascii="Times New Roman" w:hAnsi="Times New Roman" w:cs="Times New Roman"/>
                <w:sz w:val="28"/>
                <w:szCs w:val="28"/>
                <w:lang w:val="ro-RO"/>
              </w:rPr>
              <w:t>Regulament</w:t>
            </w:r>
            <w:r w:rsidR="00A770D6">
              <w:rPr>
                <w:rFonts w:ascii="Times New Roman" w:hAnsi="Times New Roman" w:cs="Times New Roman"/>
                <w:sz w:val="28"/>
                <w:szCs w:val="28"/>
                <w:lang w:val="ro-RO"/>
              </w:rPr>
              <w:t xml:space="preserve">ul </w:t>
            </w:r>
            <w:r w:rsidR="00A770D6" w:rsidRPr="00980C1E">
              <w:rPr>
                <w:rFonts w:ascii="Times New Roman" w:hAnsi="Times New Roman" w:cs="Times New Roman"/>
                <w:sz w:val="28"/>
                <w:szCs w:val="28"/>
                <w:lang w:val="ro-RO"/>
              </w:rPr>
              <w:t>de aplicare a destinațiilor vamale prevăzute de Codul Vamal</w:t>
            </w:r>
            <w:r w:rsidR="002C117B" w:rsidRPr="00CC516C">
              <w:rPr>
                <w:rFonts w:ascii="Times New Roman" w:hAnsi="Times New Roman" w:cs="Times New Roman"/>
                <w:sz w:val="28"/>
                <w:szCs w:val="28"/>
                <w:lang w:val="ro-RO"/>
              </w:rPr>
              <w:t xml:space="preserve">, titularul acordului de perfecționare activă/perfecționare pasivă este obligat să prezinte biroului vamal care are în evidență operațiunea respectivă, un decont de justificare. Actualmente, titularii acordurilor regimurilor menționate prezintă deconturile de justificare în forme libere și care nu reflectă totalmente informația necesară, prevăzută la pct.191 și pct.301 din Regulamentul menționat. Acest fapt complică procedura de contabilizare a materiei prime consumate față de produse finite obținute, în special în cazul unui proces tehnologic de lungă durată (i), în cazul importului materiei prime în rate (ii) sau în cazul reexportului produselor finite în loturi separate (iii). </w:t>
            </w:r>
          </w:p>
          <w:p w14:paraId="2D7369E1" w14:textId="77777777" w:rsidR="00F1553B" w:rsidRDefault="002C117B" w:rsidP="00F1553B">
            <w:pPr>
              <w:tabs>
                <w:tab w:val="left" w:pos="300"/>
              </w:tabs>
              <w:spacing w:after="0" w:line="240" w:lineRule="auto"/>
              <w:ind w:right="100" w:firstLine="570"/>
              <w:jc w:val="both"/>
              <w:rPr>
                <w:rFonts w:ascii="Times New Roman" w:eastAsia="Batang" w:hAnsi="Times New Roman" w:cs="Times New Roman"/>
                <w:sz w:val="28"/>
                <w:szCs w:val="28"/>
                <w:lang w:val="ro-RO" w:eastAsia="ko-KR"/>
              </w:rPr>
            </w:pPr>
            <w:r w:rsidRPr="00CC516C">
              <w:rPr>
                <w:rFonts w:ascii="Times New Roman" w:eastAsia="Batang" w:hAnsi="Times New Roman" w:cs="Times New Roman"/>
                <w:sz w:val="28"/>
                <w:szCs w:val="28"/>
                <w:lang w:val="ro-RO" w:eastAsia="ko-KR"/>
              </w:rPr>
              <w:t>Reieșind din numărul în creștere a agenților economici care activează în regimurile specificate, problema privind prezentarea incompletă a informației necesare</w:t>
            </w:r>
            <w:r w:rsidR="004A45A8">
              <w:rPr>
                <w:rFonts w:ascii="Times New Roman" w:eastAsia="Batang" w:hAnsi="Times New Roman" w:cs="Times New Roman"/>
                <w:sz w:val="28"/>
                <w:szCs w:val="28"/>
                <w:lang w:val="ro-RO" w:eastAsia="ko-KR"/>
              </w:rPr>
              <w:t>,</w:t>
            </w:r>
            <w:r w:rsidRPr="00CC516C">
              <w:rPr>
                <w:rFonts w:ascii="Times New Roman" w:eastAsia="Batang" w:hAnsi="Times New Roman" w:cs="Times New Roman"/>
                <w:sz w:val="28"/>
                <w:szCs w:val="28"/>
                <w:lang w:val="ro-RO" w:eastAsia="ko-KR"/>
              </w:rPr>
              <w:t xml:space="preserve"> evoluează.</w:t>
            </w:r>
          </w:p>
          <w:p w14:paraId="0433AB64" w14:textId="356CE3FE" w:rsidR="002C117B" w:rsidRPr="00CC516C" w:rsidRDefault="002C117B" w:rsidP="00F1553B">
            <w:pPr>
              <w:tabs>
                <w:tab w:val="left" w:pos="300"/>
              </w:tabs>
              <w:spacing w:after="0" w:line="240" w:lineRule="auto"/>
              <w:ind w:right="100" w:firstLine="570"/>
              <w:jc w:val="both"/>
              <w:rPr>
                <w:rFonts w:ascii="Times New Roman" w:eastAsia="Batang" w:hAnsi="Times New Roman" w:cs="Times New Roman"/>
                <w:sz w:val="28"/>
                <w:szCs w:val="28"/>
                <w:lang w:val="ro-RO" w:eastAsia="ko-KR"/>
              </w:rPr>
            </w:pPr>
            <w:r w:rsidRPr="00CC516C">
              <w:rPr>
                <w:rFonts w:ascii="Times New Roman" w:eastAsia="Batang" w:hAnsi="Times New Roman" w:cs="Times New Roman"/>
                <w:sz w:val="28"/>
                <w:szCs w:val="28"/>
                <w:lang w:val="ro-RO" w:eastAsia="ko-KR"/>
              </w:rPr>
              <w:lastRenderedPageBreak/>
              <w:t>Astfel, numărul tot mai mare a deconturilor de justificare prezentate în formă liberă blochează modul</w:t>
            </w:r>
            <w:r w:rsidR="00CC516C">
              <w:rPr>
                <w:rFonts w:ascii="Times New Roman" w:eastAsia="Batang" w:hAnsi="Times New Roman" w:cs="Times New Roman"/>
                <w:sz w:val="28"/>
                <w:szCs w:val="28"/>
                <w:lang w:val="ro-RO" w:eastAsia="ko-KR"/>
              </w:rPr>
              <w:t xml:space="preserve"> de lucru a agenților economici, precum </w:t>
            </w:r>
            <w:r w:rsidRPr="00CC516C">
              <w:rPr>
                <w:rFonts w:ascii="Times New Roman" w:eastAsia="Batang" w:hAnsi="Times New Roman" w:cs="Times New Roman"/>
                <w:sz w:val="28"/>
                <w:szCs w:val="28"/>
                <w:lang w:val="ro-RO" w:eastAsia="ko-KR"/>
              </w:rPr>
              <w:t>și a funcționarilor vamali.</w:t>
            </w:r>
          </w:p>
          <w:p w14:paraId="4D42C80F" w14:textId="77777777" w:rsidR="005B51CB" w:rsidRDefault="004A45A8" w:rsidP="005B51CB">
            <w:pPr>
              <w:spacing w:after="0" w:line="240" w:lineRule="auto"/>
              <w:ind w:right="100" w:firstLine="540"/>
              <w:contextualSpacing/>
              <w:jc w:val="both"/>
              <w:rPr>
                <w:rFonts w:ascii="Times New Roman" w:hAnsi="Times New Roman"/>
                <w:sz w:val="28"/>
                <w:szCs w:val="28"/>
                <w:lang w:val="ro-RO"/>
              </w:rPr>
            </w:pPr>
            <w:r>
              <w:rPr>
                <w:rFonts w:ascii="Times New Roman" w:hAnsi="Times New Roman"/>
                <w:sz w:val="28"/>
                <w:szCs w:val="28"/>
                <w:lang w:val="ro-RO"/>
              </w:rPr>
              <w:t>În acest sens</w:t>
            </w:r>
            <w:r w:rsidR="00CC516C">
              <w:rPr>
                <w:rFonts w:ascii="Times New Roman" w:hAnsi="Times New Roman"/>
                <w:sz w:val="28"/>
                <w:szCs w:val="28"/>
                <w:lang w:val="ro-RO"/>
              </w:rPr>
              <w:t>, s</w:t>
            </w:r>
            <w:r w:rsidR="00CC516C" w:rsidRPr="00980C1E">
              <w:rPr>
                <w:rFonts w:ascii="Times New Roman" w:hAnsi="Times New Roman"/>
                <w:sz w:val="28"/>
                <w:szCs w:val="28"/>
                <w:lang w:val="ro-RO"/>
              </w:rPr>
              <w:t xml:space="preserve">e propune </w:t>
            </w:r>
            <w:r w:rsidR="00CC516C" w:rsidRPr="00980C1E">
              <w:rPr>
                <w:rFonts w:ascii="Times New Roman" w:eastAsia="Batang" w:hAnsi="Times New Roman"/>
                <w:sz w:val="28"/>
                <w:szCs w:val="28"/>
                <w:lang w:val="ro-RO" w:eastAsia="ko-KR"/>
              </w:rPr>
              <w:t xml:space="preserve">completarea </w:t>
            </w:r>
            <w:r w:rsidR="00CC516C" w:rsidRPr="00980C1E">
              <w:rPr>
                <w:rFonts w:ascii="Times New Roman" w:hAnsi="Times New Roman"/>
                <w:sz w:val="28"/>
                <w:szCs w:val="28"/>
                <w:lang w:val="ro-RO"/>
              </w:rPr>
              <w:t xml:space="preserve">Regulamentului respectiv </w:t>
            </w:r>
            <w:r w:rsidR="00CC516C" w:rsidRPr="00980C1E">
              <w:rPr>
                <w:rFonts w:ascii="Times New Roman" w:eastAsia="Batang" w:hAnsi="Times New Roman"/>
                <w:sz w:val="28"/>
                <w:szCs w:val="28"/>
                <w:lang w:val="ro-RO" w:eastAsia="ko-KR"/>
              </w:rPr>
              <w:t>cu Anexa nr.34 -</w:t>
            </w:r>
            <w:r w:rsidR="00CC516C" w:rsidRPr="00980C1E">
              <w:rPr>
                <w:rFonts w:ascii="Times New Roman" w:hAnsi="Times New Roman"/>
                <w:sz w:val="28"/>
                <w:szCs w:val="28"/>
                <w:lang w:val="ro-RO"/>
              </w:rPr>
              <w:t xml:space="preserve"> M</w:t>
            </w:r>
            <w:r w:rsidR="00CC516C" w:rsidRPr="00980C1E">
              <w:rPr>
                <w:rFonts w:ascii="Times New Roman" w:eastAsia="Batang" w:hAnsi="Times New Roman"/>
                <w:sz w:val="28"/>
                <w:szCs w:val="28"/>
                <w:lang w:val="ro-RO" w:eastAsia="ko-KR"/>
              </w:rPr>
              <w:t xml:space="preserve">odelul-tip uniform al decontului de justificare. Acesta va fi accesibilă agenților economici </w:t>
            </w:r>
            <w:r w:rsidR="00CC516C">
              <w:rPr>
                <w:rFonts w:ascii="Times New Roman" w:eastAsia="Batang" w:hAnsi="Times New Roman"/>
                <w:sz w:val="28"/>
                <w:szCs w:val="28"/>
                <w:lang w:val="ro-RO" w:eastAsia="ko-KR"/>
              </w:rPr>
              <w:t>precum și</w:t>
            </w:r>
            <w:r w:rsidR="00CC516C" w:rsidRPr="00980C1E">
              <w:rPr>
                <w:rFonts w:ascii="Times New Roman" w:eastAsia="Batang" w:hAnsi="Times New Roman"/>
                <w:sz w:val="28"/>
                <w:szCs w:val="28"/>
                <w:lang w:val="ro-RO" w:eastAsia="ko-KR"/>
              </w:rPr>
              <w:t xml:space="preserve"> funcționari</w:t>
            </w:r>
            <w:r w:rsidR="00CC516C">
              <w:rPr>
                <w:rFonts w:ascii="Times New Roman" w:eastAsia="Batang" w:hAnsi="Times New Roman"/>
                <w:sz w:val="28"/>
                <w:szCs w:val="28"/>
                <w:lang w:val="ro-RO" w:eastAsia="ko-KR"/>
              </w:rPr>
              <w:t>lor</w:t>
            </w:r>
            <w:r w:rsidR="00CC516C" w:rsidRPr="00980C1E">
              <w:rPr>
                <w:rFonts w:ascii="Times New Roman" w:eastAsia="Batang" w:hAnsi="Times New Roman"/>
                <w:sz w:val="28"/>
                <w:szCs w:val="28"/>
                <w:lang w:val="ro-RO" w:eastAsia="ko-KR"/>
              </w:rPr>
              <w:t xml:space="preserve"> vamali </w:t>
            </w:r>
            <w:r w:rsidR="00CC516C">
              <w:rPr>
                <w:rFonts w:ascii="Times New Roman" w:eastAsia="Batang" w:hAnsi="Times New Roman"/>
                <w:sz w:val="28"/>
                <w:szCs w:val="28"/>
                <w:lang w:val="ro-RO" w:eastAsia="ko-KR"/>
              </w:rPr>
              <w:t>în vederea</w:t>
            </w:r>
            <w:r w:rsidR="00CC516C" w:rsidRPr="00980C1E">
              <w:rPr>
                <w:rFonts w:ascii="Times New Roman" w:eastAsia="Batang" w:hAnsi="Times New Roman"/>
                <w:sz w:val="28"/>
                <w:szCs w:val="28"/>
                <w:lang w:val="ro-RO" w:eastAsia="ko-KR"/>
              </w:rPr>
              <w:t xml:space="preserve"> confirm</w:t>
            </w:r>
            <w:r w:rsidR="00CC516C">
              <w:rPr>
                <w:rFonts w:ascii="Times New Roman" w:eastAsia="Batang" w:hAnsi="Times New Roman"/>
                <w:sz w:val="28"/>
                <w:szCs w:val="28"/>
                <w:lang w:val="ro-RO" w:eastAsia="ko-KR"/>
              </w:rPr>
              <w:t>ării</w:t>
            </w:r>
            <w:r w:rsidR="00CC516C" w:rsidRPr="00980C1E">
              <w:rPr>
                <w:rFonts w:ascii="Times New Roman" w:eastAsia="Batang" w:hAnsi="Times New Roman"/>
                <w:sz w:val="28"/>
                <w:szCs w:val="28"/>
                <w:lang w:val="ro-RO" w:eastAsia="ko-KR"/>
              </w:rPr>
              <w:t xml:space="preserve"> încheierii regimurilor vamale cu impact economic</w:t>
            </w:r>
            <w:r w:rsidR="005B51CB">
              <w:rPr>
                <w:rFonts w:ascii="Times New Roman" w:hAnsi="Times New Roman"/>
                <w:sz w:val="28"/>
                <w:szCs w:val="28"/>
                <w:lang w:val="ro-RO"/>
              </w:rPr>
              <w:t>.</w:t>
            </w:r>
          </w:p>
          <w:p w14:paraId="1601D226" w14:textId="77777777" w:rsidR="003B2DE5" w:rsidRPr="00980C1E" w:rsidRDefault="005B51CB" w:rsidP="003B2DE5">
            <w:pPr>
              <w:ind w:right="100" w:firstLine="540"/>
              <w:contextualSpacing/>
              <w:jc w:val="both"/>
              <w:rPr>
                <w:rFonts w:ascii="Times New Roman" w:hAnsi="Times New Roman"/>
                <w:sz w:val="28"/>
                <w:szCs w:val="28"/>
                <w:lang w:val="ro-RO"/>
              </w:rPr>
            </w:pPr>
            <w:r w:rsidRPr="00CC516C">
              <w:rPr>
                <w:rFonts w:ascii="Times New Roman" w:hAnsi="Times New Roman" w:cs="Times New Roman"/>
                <w:sz w:val="28"/>
                <w:szCs w:val="28"/>
                <w:lang w:val="ro-RO"/>
              </w:rPr>
              <w:t xml:space="preserve">Totodată, </w:t>
            </w:r>
            <w:r>
              <w:rPr>
                <w:rFonts w:ascii="Times New Roman" w:hAnsi="Times New Roman" w:cs="Times New Roman"/>
                <w:sz w:val="28"/>
                <w:szCs w:val="28"/>
                <w:lang w:val="ro-RO"/>
              </w:rPr>
              <w:t>î</w:t>
            </w:r>
            <w:r w:rsidRPr="00980C1E">
              <w:rPr>
                <w:rFonts w:ascii="Times New Roman" w:hAnsi="Times New Roman"/>
                <w:sz w:val="28"/>
                <w:szCs w:val="28"/>
                <w:lang w:val="ro-RO"/>
              </w:rPr>
              <w:t xml:space="preserve">n vederea asigurării corectitudinii acordării regimului vamal de admitere temporară, de către birourile vamale, la unele categorii de mărfuri și în special la cutiile din carton, plastic, lemn, etc., </w:t>
            </w:r>
            <w:r>
              <w:rPr>
                <w:rFonts w:ascii="Times New Roman" w:hAnsi="Times New Roman"/>
                <w:sz w:val="28"/>
                <w:szCs w:val="28"/>
                <w:lang w:val="ro-RO"/>
              </w:rPr>
              <w:t>se propune</w:t>
            </w:r>
            <w:r w:rsidRPr="00980C1E">
              <w:rPr>
                <w:rFonts w:ascii="Times New Roman" w:hAnsi="Times New Roman"/>
                <w:sz w:val="28"/>
                <w:szCs w:val="28"/>
                <w:lang w:val="ro-RO"/>
              </w:rPr>
              <w:t xml:space="preserve"> racord</w:t>
            </w:r>
            <w:r>
              <w:rPr>
                <w:rFonts w:ascii="Times New Roman" w:hAnsi="Times New Roman"/>
                <w:sz w:val="28"/>
                <w:szCs w:val="28"/>
                <w:lang w:val="ro-RO"/>
              </w:rPr>
              <w:t>area</w:t>
            </w:r>
            <w:r w:rsidRPr="00980C1E">
              <w:rPr>
                <w:rFonts w:ascii="Times New Roman" w:hAnsi="Times New Roman"/>
                <w:sz w:val="28"/>
                <w:szCs w:val="28"/>
                <w:lang w:val="ro-RO"/>
              </w:rPr>
              <w:t xml:space="preserve"> cadrului legal național la prevederile legislației </w:t>
            </w:r>
            <w:r w:rsidRPr="00DB680D">
              <w:rPr>
                <w:rFonts w:ascii="Times New Roman" w:hAnsi="Times New Roman"/>
                <w:sz w:val="28"/>
                <w:szCs w:val="28"/>
                <w:lang w:val="ro-RO"/>
              </w:rPr>
              <w:t xml:space="preserve">internaționale și anume la </w:t>
            </w:r>
            <w:r w:rsidR="003B2DE5" w:rsidRPr="00980C1E">
              <w:rPr>
                <w:rFonts w:ascii="Times New Roman" w:hAnsi="Times New Roman"/>
                <w:sz w:val="28"/>
                <w:szCs w:val="28"/>
                <w:lang w:val="ro-RO"/>
              </w:rPr>
              <w:t xml:space="preserve">Convenția </w:t>
            </w:r>
            <w:r w:rsidR="003B2DE5" w:rsidRPr="003B2DE5">
              <w:rPr>
                <w:rFonts w:ascii="Times New Roman" w:hAnsi="Times New Roman"/>
                <w:sz w:val="28"/>
                <w:szCs w:val="28"/>
                <w:lang w:val="ro-RO"/>
              </w:rPr>
              <w:t>privind admiterea temporară încheiată la Istanbul la data de 26 iunie 1990.</w:t>
            </w:r>
          </w:p>
          <w:p w14:paraId="5EE7C874" w14:textId="77777777" w:rsidR="005B51CB" w:rsidRPr="00DB680D" w:rsidRDefault="005B51CB" w:rsidP="005B51CB">
            <w:pPr>
              <w:spacing w:after="0" w:line="240" w:lineRule="auto"/>
              <w:ind w:right="100" w:firstLine="540"/>
              <w:contextualSpacing/>
              <w:jc w:val="both"/>
              <w:rPr>
                <w:rFonts w:ascii="Times New Roman" w:hAnsi="Times New Roman"/>
                <w:sz w:val="28"/>
                <w:szCs w:val="28"/>
                <w:lang w:val="ro-RO"/>
              </w:rPr>
            </w:pPr>
            <w:r w:rsidRPr="00DB680D">
              <w:rPr>
                <w:rFonts w:ascii="Times New Roman" w:hAnsi="Times New Roman"/>
                <w:sz w:val="28"/>
                <w:szCs w:val="28"/>
                <w:lang w:val="ro-RO"/>
              </w:rPr>
              <w:t>Astfel, conform redacției actuale a pct.234 alin.(1) din Regulament, regimul de admitere temporară cu suspendare totală de la plata drepturilor de import se acordă ambalajelor. În aceeași ordine de idei, potrivit alin.(2) al aceluiași punct, ambalaje reprezintă recipiente utilizate în starea în care sunt importate, pentru ambalarea exterioară sau interioară a mărfurilor.</w:t>
            </w:r>
          </w:p>
          <w:p w14:paraId="7D02035F" w14:textId="77777777" w:rsidR="005B51CB" w:rsidRPr="00DB680D" w:rsidRDefault="00067F93" w:rsidP="005B51CB">
            <w:pPr>
              <w:spacing w:after="0" w:line="240" w:lineRule="auto"/>
              <w:ind w:right="100" w:firstLine="540"/>
              <w:contextualSpacing/>
              <w:jc w:val="both"/>
              <w:rPr>
                <w:rFonts w:ascii="Times New Roman" w:hAnsi="Times New Roman"/>
                <w:sz w:val="28"/>
                <w:szCs w:val="28"/>
                <w:lang w:val="ro-RO"/>
              </w:rPr>
            </w:pPr>
            <w:r>
              <w:rPr>
                <w:rFonts w:ascii="Times New Roman" w:hAnsi="Times New Roman"/>
                <w:sz w:val="28"/>
                <w:szCs w:val="28"/>
                <w:lang w:val="ro-RO"/>
              </w:rPr>
              <w:t>C</w:t>
            </w:r>
            <w:r w:rsidR="005B51CB" w:rsidRPr="00DB680D">
              <w:rPr>
                <w:rFonts w:ascii="Times New Roman" w:hAnsi="Times New Roman"/>
                <w:sz w:val="28"/>
                <w:szCs w:val="28"/>
                <w:lang w:val="ro-RO"/>
              </w:rPr>
              <w:t>a urmare a analizei cadrului legal existent constatăm că aceste mărfuri nu se regăsesc expres în pct.234 din Regulament și apare necesitatea modific</w:t>
            </w:r>
            <w:r w:rsidR="00A770D6">
              <w:rPr>
                <w:rFonts w:ascii="Times New Roman" w:hAnsi="Times New Roman"/>
                <w:sz w:val="28"/>
                <w:szCs w:val="28"/>
                <w:lang w:val="ro-RO"/>
              </w:rPr>
              <w:t>ării</w:t>
            </w:r>
            <w:r w:rsidR="005B51CB" w:rsidRPr="00DB680D">
              <w:rPr>
                <w:rFonts w:ascii="Times New Roman" w:hAnsi="Times New Roman"/>
                <w:sz w:val="28"/>
                <w:szCs w:val="28"/>
                <w:lang w:val="ro-RO"/>
              </w:rPr>
              <w:t xml:space="preserve"> cadrului legal, cu indicarea expresă a mărfurilor care reprezintă ambalaje, în scopul eliminării divergențelor care apar în momentul eliberării acordului de funcționare a regimului de admitere temporară.</w:t>
            </w:r>
          </w:p>
          <w:p w14:paraId="51484FAB" w14:textId="77777777" w:rsidR="002C117B" w:rsidRDefault="005B51CB" w:rsidP="005B51CB">
            <w:pPr>
              <w:spacing w:after="0" w:line="240" w:lineRule="auto"/>
              <w:ind w:right="100" w:firstLine="540"/>
              <w:contextualSpacing/>
              <w:jc w:val="both"/>
              <w:rPr>
                <w:rFonts w:ascii="Times New Roman" w:hAnsi="Times New Roman"/>
                <w:sz w:val="28"/>
                <w:szCs w:val="28"/>
                <w:lang w:val="ro-RO"/>
              </w:rPr>
            </w:pPr>
            <w:r w:rsidRPr="005B51CB">
              <w:rPr>
                <w:rFonts w:ascii="Times New Roman" w:hAnsi="Times New Roman"/>
                <w:sz w:val="28"/>
                <w:szCs w:val="28"/>
                <w:lang w:val="ro-RO"/>
              </w:rPr>
              <w:t xml:space="preserve">Este </w:t>
            </w:r>
            <w:r w:rsidR="00EF44D3">
              <w:rPr>
                <w:rFonts w:ascii="Times New Roman" w:hAnsi="Times New Roman"/>
                <w:sz w:val="28"/>
                <w:szCs w:val="28"/>
                <w:lang w:val="ro-RO"/>
              </w:rPr>
              <w:t xml:space="preserve">important </w:t>
            </w:r>
            <w:r w:rsidRPr="005B51CB">
              <w:rPr>
                <w:rFonts w:ascii="Times New Roman" w:hAnsi="Times New Roman"/>
                <w:sz w:val="28"/>
                <w:szCs w:val="28"/>
                <w:lang w:val="ro-RO"/>
              </w:rPr>
              <w:t>de menționat că</w:t>
            </w:r>
            <w:r>
              <w:rPr>
                <w:rFonts w:ascii="Times New Roman" w:hAnsi="Times New Roman"/>
                <w:sz w:val="28"/>
                <w:szCs w:val="28"/>
                <w:lang w:val="ro-RO"/>
              </w:rPr>
              <w:t>,</w:t>
            </w:r>
            <w:r w:rsidRPr="005B51CB">
              <w:rPr>
                <w:rFonts w:ascii="Times New Roman" w:hAnsi="Times New Roman"/>
                <w:sz w:val="28"/>
                <w:szCs w:val="28"/>
                <w:lang w:val="ro-RO"/>
              </w:rPr>
              <w:t xml:space="preserve"> </w:t>
            </w:r>
            <w:r w:rsidR="002C117B" w:rsidRPr="005B51CB">
              <w:rPr>
                <w:rFonts w:ascii="Times New Roman" w:hAnsi="Times New Roman"/>
                <w:sz w:val="28"/>
                <w:szCs w:val="28"/>
                <w:lang w:val="ro-RO"/>
              </w:rPr>
              <w:t xml:space="preserve">necesitatea efectuării modificărilor respective a fost recomandată și de </w:t>
            </w:r>
            <w:r w:rsidR="002B4AF2">
              <w:rPr>
                <w:rFonts w:ascii="Times New Roman" w:hAnsi="Times New Roman"/>
                <w:sz w:val="28"/>
                <w:szCs w:val="28"/>
                <w:lang w:val="ro-RO"/>
              </w:rPr>
              <w:t xml:space="preserve">Grupul de lucru al </w:t>
            </w:r>
            <w:r w:rsidR="002C117B" w:rsidRPr="005B51CB">
              <w:rPr>
                <w:rFonts w:ascii="Times New Roman" w:hAnsi="Times New Roman"/>
                <w:sz w:val="28"/>
                <w:szCs w:val="28"/>
                <w:lang w:val="ro-RO"/>
              </w:rPr>
              <w:t>Comisi</w:t>
            </w:r>
            <w:r w:rsidR="002B4AF2">
              <w:rPr>
                <w:rFonts w:ascii="Times New Roman" w:hAnsi="Times New Roman"/>
                <w:sz w:val="28"/>
                <w:szCs w:val="28"/>
                <w:lang w:val="ro-RO"/>
              </w:rPr>
              <w:t>ei de stat pentru reglementare</w:t>
            </w:r>
            <w:r w:rsidR="002C117B" w:rsidRPr="005B51CB">
              <w:rPr>
                <w:rFonts w:ascii="Times New Roman" w:hAnsi="Times New Roman"/>
                <w:sz w:val="28"/>
                <w:szCs w:val="28"/>
                <w:lang w:val="ro-RO"/>
              </w:rPr>
              <w:t>a activității de întreprinzător.</w:t>
            </w:r>
          </w:p>
          <w:p w14:paraId="5E252C36" w14:textId="77777777" w:rsidR="00B60FD2" w:rsidRDefault="00B60FD2" w:rsidP="003C1D57">
            <w:pPr>
              <w:spacing w:after="0" w:line="240" w:lineRule="auto"/>
              <w:ind w:right="100" w:firstLine="540"/>
              <w:contextualSpacing/>
              <w:jc w:val="both"/>
              <w:rPr>
                <w:rFonts w:ascii="Times New Roman" w:hAnsi="Times New Roman"/>
                <w:sz w:val="28"/>
                <w:szCs w:val="28"/>
                <w:lang w:val="ro-RO"/>
              </w:rPr>
            </w:pPr>
            <w:r>
              <w:rPr>
                <w:rFonts w:ascii="Times New Roman" w:hAnsi="Times New Roman"/>
                <w:sz w:val="28"/>
                <w:szCs w:val="28"/>
                <w:lang w:val="ro-RO"/>
              </w:rPr>
              <w:t>Totodată, în scopul simplificării procedurii de introduce</w:t>
            </w:r>
            <w:r w:rsidR="00AC7583">
              <w:rPr>
                <w:rFonts w:ascii="Times New Roman" w:hAnsi="Times New Roman"/>
                <w:sz w:val="28"/>
                <w:szCs w:val="28"/>
                <w:lang w:val="ro-RO"/>
              </w:rPr>
              <w:t>re</w:t>
            </w:r>
            <w:r>
              <w:rPr>
                <w:rFonts w:ascii="Times New Roman" w:hAnsi="Times New Roman"/>
                <w:sz w:val="28"/>
                <w:szCs w:val="28"/>
                <w:lang w:val="ro-RO"/>
              </w:rPr>
              <w:t xml:space="preserve"> și scoatere a mărfurilor</w:t>
            </w:r>
            <w:r w:rsidR="00F678F6">
              <w:rPr>
                <w:rFonts w:ascii="Times New Roman" w:hAnsi="Times New Roman"/>
                <w:sz w:val="28"/>
                <w:szCs w:val="28"/>
                <w:lang w:val="ro-RO"/>
              </w:rPr>
              <w:t xml:space="preserve"> autohtone </w:t>
            </w:r>
            <w:r>
              <w:rPr>
                <w:rFonts w:ascii="Times New Roman" w:hAnsi="Times New Roman"/>
                <w:sz w:val="28"/>
                <w:szCs w:val="28"/>
                <w:lang w:val="ro-RO"/>
              </w:rPr>
              <w:t>pe/</w:t>
            </w:r>
            <w:r w:rsidRPr="00E647A8">
              <w:rPr>
                <w:rFonts w:ascii="Times New Roman" w:hAnsi="Times New Roman"/>
                <w:sz w:val="28"/>
                <w:szCs w:val="28"/>
                <w:lang w:val="ro-RO"/>
              </w:rPr>
              <w:t>de pe teritoriul zonelor libere, se propune</w:t>
            </w:r>
            <w:r w:rsidR="003C1D57" w:rsidRPr="00E647A8">
              <w:rPr>
                <w:rFonts w:ascii="Times New Roman" w:hAnsi="Times New Roman"/>
                <w:sz w:val="28"/>
                <w:szCs w:val="28"/>
                <w:lang w:val="ro-RO"/>
              </w:rPr>
              <w:t xml:space="preserve"> completarea proiectului cu o normă care prevede că, organul vamal permite intrarea mijlocului de transport cu marfă în zona liberă, pentru efectuarea operațiunii de încărcare/descărcare succesivă, în conformitate cu procedura stabilită de Serviciul Vamal.</w:t>
            </w:r>
            <w:r w:rsidR="00CC26A6" w:rsidRPr="00E647A8">
              <w:rPr>
                <w:rFonts w:ascii="Times New Roman" w:hAnsi="Times New Roman"/>
                <w:sz w:val="28"/>
                <w:szCs w:val="28"/>
                <w:lang w:val="ro-RO"/>
              </w:rPr>
              <w:t xml:space="preserve"> Aceasta va permite introducerea mărfurilor pe teritoriul zonei libere, pentru gruparea acestora cu mărfurile din interiorul zonei, cu scoaterea ulterioară a mărfurilor grupate pe restul teritoriului vamal al Republicii Moldova.</w:t>
            </w:r>
          </w:p>
          <w:p w14:paraId="531DEC55" w14:textId="67C63F02" w:rsidR="00545589" w:rsidRPr="00672D4A" w:rsidRDefault="000E24BD" w:rsidP="003D18B1">
            <w:pPr>
              <w:tabs>
                <w:tab w:val="left" w:pos="-142"/>
                <w:tab w:val="left" w:pos="84"/>
              </w:tabs>
              <w:spacing w:after="0" w:line="240" w:lineRule="auto"/>
              <w:ind w:right="102" w:firstLine="54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De asemenea se propune racordarea prevederilor Secțiunii 11 din Regulament, ce țin de aplicarea </w:t>
            </w:r>
            <w:r w:rsidR="00092104">
              <w:rPr>
                <w:rFonts w:ascii="Times New Roman" w:hAnsi="Times New Roman" w:cs="Times New Roman"/>
                <w:sz w:val="28"/>
                <w:szCs w:val="28"/>
                <w:lang w:val="ro-RO"/>
              </w:rPr>
              <w:t xml:space="preserve">destinației vamale magazinul duty-free </w:t>
            </w:r>
            <w:r>
              <w:rPr>
                <w:rFonts w:ascii="Times New Roman" w:hAnsi="Times New Roman" w:cs="Times New Roman"/>
                <w:sz w:val="28"/>
                <w:szCs w:val="28"/>
                <w:lang w:val="ro-RO"/>
              </w:rPr>
              <w:t>în conformitate cu modificările operate în Codul vamal prin Legea nr.119/2019 cu privire la modificarea unor acte legislative și Legea nr.171/2019 cu privire la modificarea unor acte legislative</w:t>
            </w:r>
            <w:r w:rsidR="00F8077D">
              <w:rPr>
                <w:rFonts w:ascii="Times New Roman" w:hAnsi="Times New Roman" w:cs="Times New Roman"/>
                <w:sz w:val="28"/>
                <w:szCs w:val="28"/>
                <w:lang w:val="ro-RO"/>
              </w:rPr>
              <w:t xml:space="preserve">, ca urmare a </w:t>
            </w:r>
            <w:r w:rsidR="008D285E">
              <w:rPr>
                <w:rFonts w:ascii="Times New Roman" w:hAnsi="Times New Roman" w:cs="Times New Roman"/>
                <w:sz w:val="28"/>
                <w:szCs w:val="28"/>
                <w:lang w:val="ro-RO"/>
              </w:rPr>
              <w:t xml:space="preserve">Hotărîrii Curții Constituționale nr.23/2019, prin care prevederile Codului vamal, ce vizează ,,barul, </w:t>
            </w:r>
            <w:r w:rsidR="002E3B26">
              <w:rPr>
                <w:rFonts w:ascii="Times New Roman" w:hAnsi="Times New Roman" w:cs="Times New Roman"/>
                <w:sz w:val="28"/>
                <w:szCs w:val="28"/>
                <w:lang w:val="ro-RO"/>
              </w:rPr>
              <w:t xml:space="preserve">și </w:t>
            </w:r>
            <w:r w:rsidR="008D285E">
              <w:rPr>
                <w:rFonts w:ascii="Times New Roman" w:hAnsi="Times New Roman" w:cs="Times New Roman"/>
                <w:sz w:val="28"/>
                <w:szCs w:val="28"/>
                <w:lang w:val="ro-RO"/>
              </w:rPr>
              <w:t xml:space="preserve">restaurantul duty-free” au fost </w:t>
            </w:r>
            <w:r w:rsidR="00F8077D">
              <w:rPr>
                <w:rFonts w:ascii="Times New Roman" w:hAnsi="Times New Roman" w:cs="Times New Roman"/>
                <w:sz w:val="28"/>
                <w:szCs w:val="28"/>
                <w:lang w:val="ro-RO"/>
              </w:rPr>
              <w:t>declar</w:t>
            </w:r>
            <w:r w:rsidR="008D285E">
              <w:rPr>
                <w:rFonts w:ascii="Times New Roman" w:hAnsi="Times New Roman" w:cs="Times New Roman"/>
                <w:sz w:val="28"/>
                <w:szCs w:val="28"/>
                <w:lang w:val="ro-RO"/>
              </w:rPr>
              <w:t xml:space="preserve">ate </w:t>
            </w:r>
            <w:r w:rsidR="00F8077D">
              <w:rPr>
                <w:rFonts w:ascii="Times New Roman" w:hAnsi="Times New Roman" w:cs="Times New Roman"/>
                <w:sz w:val="28"/>
                <w:szCs w:val="28"/>
                <w:lang w:val="ro-RO"/>
              </w:rPr>
              <w:t>neconstituționale</w:t>
            </w:r>
            <w:r w:rsidR="008D285E">
              <w:rPr>
                <w:rFonts w:ascii="Times New Roman" w:hAnsi="Times New Roman" w:cs="Times New Roman"/>
                <w:sz w:val="28"/>
                <w:szCs w:val="28"/>
                <w:lang w:val="ro-RO"/>
              </w:rPr>
              <w:t>.</w:t>
            </w:r>
          </w:p>
        </w:tc>
      </w:tr>
      <w:tr w:rsidR="00545589" w:rsidRPr="00980C1E" w14:paraId="593C93D8"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CE2A61" w14:textId="77777777" w:rsidR="00545589" w:rsidRPr="00980C1E" w:rsidRDefault="00545589" w:rsidP="00F254A6">
            <w:pPr>
              <w:spacing w:after="0" w:line="240" w:lineRule="auto"/>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b/>
                <w:bCs/>
                <w:sz w:val="28"/>
                <w:szCs w:val="28"/>
                <w:lang w:val="ro-RO" w:eastAsia="en-GB"/>
              </w:rPr>
              <w:lastRenderedPageBreak/>
              <w:t>5.</w:t>
            </w:r>
            <w:r w:rsidRPr="00980C1E">
              <w:rPr>
                <w:rFonts w:ascii="Times New Roman" w:eastAsia="Times New Roman" w:hAnsi="Times New Roman" w:cs="Times New Roman"/>
                <w:sz w:val="28"/>
                <w:szCs w:val="28"/>
                <w:lang w:val="ro-RO" w:eastAsia="en-GB"/>
              </w:rPr>
              <w:t xml:space="preserve"> </w:t>
            </w:r>
            <w:r w:rsidRPr="00980C1E">
              <w:rPr>
                <w:rFonts w:ascii="Times New Roman" w:eastAsia="Times New Roman" w:hAnsi="Times New Roman" w:cs="Times New Roman"/>
                <w:b/>
                <w:sz w:val="28"/>
                <w:szCs w:val="28"/>
                <w:lang w:val="ro-RO" w:eastAsia="en-GB"/>
              </w:rPr>
              <w:t>Fundamentarea economico-financiară</w:t>
            </w:r>
          </w:p>
        </w:tc>
      </w:tr>
      <w:tr w:rsidR="00B24167" w:rsidRPr="00980C1E" w14:paraId="26FACABA"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009FB0" w14:textId="77777777" w:rsidR="00B24167" w:rsidRPr="00980C1E" w:rsidRDefault="00B24167" w:rsidP="000516E1">
            <w:pPr>
              <w:pStyle w:val="cb"/>
              <w:ind w:firstLine="507"/>
              <w:jc w:val="both"/>
              <w:rPr>
                <w:b w:val="0"/>
                <w:bCs w:val="0"/>
                <w:sz w:val="28"/>
                <w:szCs w:val="28"/>
                <w:lang w:val="ro-RO"/>
              </w:rPr>
            </w:pPr>
            <w:r w:rsidRPr="00980C1E">
              <w:rPr>
                <w:rStyle w:val="docheader"/>
                <w:rFonts w:eastAsia="Calibri"/>
                <w:b w:val="0"/>
                <w:sz w:val="28"/>
                <w:szCs w:val="28"/>
                <w:lang w:val="ro-RO"/>
              </w:rPr>
              <w:t>Proiectul nu necesit</w:t>
            </w:r>
            <w:r w:rsidR="00951C97">
              <w:rPr>
                <w:rStyle w:val="docheader"/>
                <w:rFonts w:eastAsia="Calibri"/>
                <w:b w:val="0"/>
                <w:sz w:val="28"/>
                <w:szCs w:val="28"/>
                <w:lang w:val="ro-RO"/>
              </w:rPr>
              <w:t>ă</w:t>
            </w:r>
            <w:r w:rsidRPr="00980C1E">
              <w:rPr>
                <w:rStyle w:val="docheader"/>
                <w:rFonts w:eastAsia="Calibri"/>
                <w:b w:val="0"/>
                <w:sz w:val="28"/>
                <w:szCs w:val="28"/>
                <w:lang w:val="ro-RO"/>
              </w:rPr>
              <w:t xml:space="preserve"> cheltuieli financiare și alocarea mijloacelor financiare de la Bugetul Public Național.</w:t>
            </w:r>
          </w:p>
        </w:tc>
      </w:tr>
      <w:tr w:rsidR="00B24167" w:rsidRPr="00980C1E" w14:paraId="7940A127"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40065A" w14:textId="77777777" w:rsidR="00B24167" w:rsidRPr="00980C1E" w:rsidRDefault="00B24167" w:rsidP="00F254A6">
            <w:pPr>
              <w:spacing w:after="0" w:line="240" w:lineRule="auto"/>
              <w:rPr>
                <w:rFonts w:ascii="Times New Roman" w:eastAsia="Times New Roman" w:hAnsi="Times New Roman" w:cs="Times New Roman"/>
                <w:b/>
                <w:sz w:val="28"/>
                <w:szCs w:val="28"/>
                <w:lang w:val="ro-RO" w:eastAsia="en-GB"/>
              </w:rPr>
            </w:pPr>
            <w:r w:rsidRPr="00980C1E">
              <w:rPr>
                <w:rFonts w:ascii="Times New Roman" w:eastAsia="Times New Roman" w:hAnsi="Times New Roman" w:cs="Times New Roman"/>
                <w:b/>
                <w:bCs/>
                <w:sz w:val="28"/>
                <w:szCs w:val="28"/>
                <w:lang w:val="ro-RO" w:eastAsia="en-GB"/>
              </w:rPr>
              <w:t>6.</w:t>
            </w:r>
            <w:r w:rsidRPr="00980C1E">
              <w:rPr>
                <w:rFonts w:ascii="Times New Roman" w:eastAsia="Times New Roman" w:hAnsi="Times New Roman" w:cs="Times New Roman"/>
                <w:b/>
                <w:sz w:val="28"/>
                <w:szCs w:val="28"/>
                <w:lang w:val="ro-RO" w:eastAsia="en-GB"/>
              </w:rPr>
              <w:t xml:space="preserve"> Modul de încorporare a actului în cadrul normativ în vigoare</w:t>
            </w:r>
          </w:p>
        </w:tc>
      </w:tr>
      <w:tr w:rsidR="00B24167" w:rsidRPr="00980C1E" w14:paraId="47A1A39E"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F735C1D" w14:textId="77777777" w:rsidR="00B24167" w:rsidRPr="00980C1E" w:rsidRDefault="00B24167" w:rsidP="000516E1">
            <w:pPr>
              <w:spacing w:after="0" w:line="240" w:lineRule="auto"/>
              <w:ind w:firstLine="507"/>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sz w:val="28"/>
                <w:szCs w:val="28"/>
                <w:lang w:val="ro-RO" w:eastAsia="en-GB"/>
              </w:rPr>
              <w:t>Prezentul proiect de Hotărîre nu implică modificarea, elaborarea sau abrogarea unor acte normative.</w:t>
            </w:r>
          </w:p>
        </w:tc>
      </w:tr>
      <w:tr w:rsidR="00B24167" w:rsidRPr="00980C1E" w14:paraId="1687BA99"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0ED17F" w14:textId="77777777" w:rsidR="00B24167" w:rsidRPr="00980C1E" w:rsidRDefault="00B24167" w:rsidP="00F254A6">
            <w:pPr>
              <w:spacing w:after="0" w:line="240" w:lineRule="auto"/>
              <w:rPr>
                <w:rFonts w:ascii="Times New Roman" w:eastAsia="Times New Roman" w:hAnsi="Times New Roman" w:cs="Times New Roman"/>
                <w:b/>
                <w:sz w:val="28"/>
                <w:szCs w:val="28"/>
                <w:lang w:val="ro-RO" w:eastAsia="en-GB"/>
              </w:rPr>
            </w:pPr>
            <w:r w:rsidRPr="00980C1E">
              <w:rPr>
                <w:rFonts w:ascii="Times New Roman" w:eastAsia="Times New Roman" w:hAnsi="Times New Roman" w:cs="Times New Roman"/>
                <w:b/>
                <w:bCs/>
                <w:sz w:val="28"/>
                <w:szCs w:val="28"/>
                <w:lang w:val="ro-RO" w:eastAsia="en-GB"/>
              </w:rPr>
              <w:t>7.</w:t>
            </w:r>
            <w:r w:rsidRPr="00980C1E">
              <w:rPr>
                <w:rFonts w:ascii="Times New Roman" w:eastAsia="Times New Roman" w:hAnsi="Times New Roman" w:cs="Times New Roman"/>
                <w:b/>
                <w:sz w:val="28"/>
                <w:szCs w:val="28"/>
                <w:lang w:val="ro-RO" w:eastAsia="en-GB"/>
              </w:rPr>
              <w:t xml:space="preserve"> Avizarea și consultarea publică a proiectului</w:t>
            </w:r>
          </w:p>
        </w:tc>
      </w:tr>
      <w:tr w:rsidR="00B24167" w:rsidRPr="00980C1E" w14:paraId="2F805F68" w14:textId="77777777" w:rsidTr="00852DE4">
        <w:trPr>
          <w:trHeight w:val="670"/>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0E41AB" w14:textId="77777777" w:rsidR="00B24167" w:rsidRPr="00980C1E" w:rsidRDefault="00B24167" w:rsidP="000516E1">
            <w:pPr>
              <w:spacing w:after="0" w:line="240" w:lineRule="auto"/>
              <w:ind w:firstLine="507"/>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sz w:val="28"/>
                <w:szCs w:val="28"/>
                <w:lang w:val="ro-RO" w:eastAsia="en-GB"/>
              </w:rPr>
              <w:lastRenderedPageBreak/>
              <w:t xml:space="preserve">În scopul respectării prevederilor Legii nr.239/2008 privind transparența în procesul decizional, anunțul privind inițierea procesului de elaborare a proiectului Hotărîrii Guvernului privind modificarea unor hotărîri ale Guvernului, este plasat pe pagina oficială a Ministerului Finanțelor, la compartimentul Transparența decizională/Consultări publice și va </w:t>
            </w:r>
            <w:r w:rsidR="00732242">
              <w:rPr>
                <w:rFonts w:ascii="Times New Roman" w:eastAsia="Times New Roman" w:hAnsi="Times New Roman" w:cs="Times New Roman"/>
                <w:sz w:val="28"/>
                <w:szCs w:val="28"/>
                <w:lang w:val="ro-RO" w:eastAsia="en-GB"/>
              </w:rPr>
              <w:t xml:space="preserve">fi </w:t>
            </w:r>
            <w:r w:rsidRPr="00980C1E">
              <w:rPr>
                <w:rFonts w:ascii="Times New Roman" w:eastAsia="Times New Roman" w:hAnsi="Times New Roman" w:cs="Times New Roman"/>
                <w:sz w:val="28"/>
                <w:szCs w:val="28"/>
                <w:lang w:val="ro-RO" w:eastAsia="en-GB"/>
              </w:rPr>
              <w:t>asigura</w:t>
            </w:r>
            <w:r w:rsidR="00732242">
              <w:rPr>
                <w:rFonts w:ascii="Times New Roman" w:eastAsia="Times New Roman" w:hAnsi="Times New Roman" w:cs="Times New Roman"/>
                <w:sz w:val="28"/>
                <w:szCs w:val="28"/>
                <w:lang w:val="ro-RO" w:eastAsia="en-GB"/>
              </w:rPr>
              <w:t>tă</w:t>
            </w:r>
            <w:r w:rsidRPr="00980C1E">
              <w:rPr>
                <w:rFonts w:ascii="Times New Roman" w:eastAsia="Times New Roman" w:hAnsi="Times New Roman" w:cs="Times New Roman"/>
                <w:sz w:val="28"/>
                <w:szCs w:val="28"/>
                <w:lang w:val="ro-RO" w:eastAsia="en-GB"/>
              </w:rPr>
              <w:t xml:space="preserve"> avizarea acestuia de către instituțiile interesate.</w:t>
            </w:r>
          </w:p>
          <w:p w14:paraId="6DFA1EE6" w14:textId="77777777" w:rsidR="00B24167" w:rsidRPr="00980C1E" w:rsidRDefault="00B24167" w:rsidP="00672D4A">
            <w:pPr>
              <w:spacing w:after="0" w:line="240" w:lineRule="auto"/>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sz w:val="28"/>
                <w:szCs w:val="28"/>
                <w:lang w:val="ro-RO" w:eastAsia="en-GB"/>
              </w:rPr>
              <w:t>În conformitate cu prevederile Regulamentului Guvernului, aprobat prin Hotărîrea Guvernului nr.610/2018, prezentul proiect se transmite Cancelariei de Stat pentru înregistrare. Proiectul urmează a fi consultat cu Ministerul Justiției</w:t>
            </w:r>
            <w:r w:rsidR="003D3528">
              <w:rPr>
                <w:rFonts w:ascii="Times New Roman" w:eastAsia="Times New Roman" w:hAnsi="Times New Roman" w:cs="Times New Roman"/>
                <w:sz w:val="28"/>
                <w:szCs w:val="28"/>
                <w:lang w:val="ro-RO" w:eastAsia="en-GB"/>
              </w:rPr>
              <w:t>, Centrul Național Anticorupție și</w:t>
            </w:r>
            <w:r w:rsidRPr="00980C1E">
              <w:rPr>
                <w:rFonts w:ascii="Times New Roman" w:eastAsia="Times New Roman" w:hAnsi="Times New Roman" w:cs="Times New Roman"/>
                <w:sz w:val="28"/>
                <w:szCs w:val="28"/>
                <w:lang w:val="ro-RO" w:eastAsia="en-GB"/>
              </w:rPr>
              <w:t xml:space="preserve"> Ministerul Economiei și Infrastructurii</w:t>
            </w:r>
            <w:r w:rsidR="00672D4A">
              <w:rPr>
                <w:rFonts w:ascii="Times New Roman" w:eastAsia="Times New Roman" w:hAnsi="Times New Roman" w:cs="Times New Roman"/>
                <w:sz w:val="28"/>
                <w:szCs w:val="28"/>
                <w:lang w:val="ro-RO" w:eastAsia="en-GB"/>
              </w:rPr>
              <w:t>.</w:t>
            </w:r>
          </w:p>
        </w:tc>
      </w:tr>
      <w:tr w:rsidR="00B24167" w:rsidRPr="00980C1E" w14:paraId="1EA45DA9"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D8EA60" w14:textId="77777777" w:rsidR="00B24167" w:rsidRPr="00980C1E" w:rsidRDefault="00B24167" w:rsidP="00F254A6">
            <w:pPr>
              <w:spacing w:after="0" w:line="240" w:lineRule="auto"/>
              <w:rPr>
                <w:rFonts w:ascii="Times New Roman" w:eastAsia="Times New Roman" w:hAnsi="Times New Roman" w:cs="Times New Roman"/>
                <w:b/>
                <w:sz w:val="28"/>
                <w:szCs w:val="28"/>
                <w:lang w:val="ro-RO" w:eastAsia="en-GB"/>
              </w:rPr>
            </w:pPr>
            <w:r w:rsidRPr="00980C1E">
              <w:rPr>
                <w:rFonts w:ascii="Times New Roman" w:eastAsia="Times New Roman" w:hAnsi="Times New Roman" w:cs="Times New Roman"/>
                <w:b/>
                <w:bCs/>
                <w:sz w:val="28"/>
                <w:szCs w:val="28"/>
                <w:lang w:val="ro-RO" w:eastAsia="en-GB"/>
              </w:rPr>
              <w:t>8.</w:t>
            </w:r>
            <w:r w:rsidRPr="00980C1E">
              <w:rPr>
                <w:rFonts w:ascii="Times New Roman" w:eastAsia="Times New Roman" w:hAnsi="Times New Roman" w:cs="Times New Roman"/>
                <w:b/>
                <w:sz w:val="28"/>
                <w:szCs w:val="28"/>
                <w:lang w:val="ro-RO" w:eastAsia="en-GB"/>
              </w:rPr>
              <w:t xml:space="preserve"> Constatările expertizei anticorupție</w:t>
            </w:r>
          </w:p>
        </w:tc>
      </w:tr>
      <w:tr w:rsidR="00B24167" w:rsidRPr="00980C1E" w14:paraId="6C38BA66" w14:textId="77777777" w:rsidTr="00545589">
        <w:trPr>
          <w:trHeight w:val="557"/>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A9EEBE" w14:textId="77777777" w:rsidR="00B24167" w:rsidRPr="00980C1E" w:rsidRDefault="00B24167" w:rsidP="00731669">
            <w:pPr>
              <w:spacing w:after="0" w:line="240" w:lineRule="auto"/>
              <w:ind w:firstLine="507"/>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sz w:val="28"/>
                <w:szCs w:val="28"/>
                <w:lang w:val="ro-RO" w:eastAsia="en-GB"/>
              </w:rPr>
              <w:t>Informa</w:t>
            </w:r>
            <w:r w:rsidR="00731669">
              <w:rPr>
                <w:rFonts w:ascii="Times New Roman" w:eastAsia="Times New Roman" w:hAnsi="Times New Roman" w:cs="Times New Roman"/>
                <w:sz w:val="28"/>
                <w:szCs w:val="28"/>
                <w:lang w:val="ro-RO" w:eastAsia="en-GB"/>
              </w:rPr>
              <w:t>ț</w:t>
            </w:r>
            <w:r w:rsidRPr="00980C1E">
              <w:rPr>
                <w:rFonts w:ascii="Times New Roman" w:eastAsia="Times New Roman" w:hAnsi="Times New Roman" w:cs="Times New Roman"/>
                <w:sz w:val="28"/>
                <w:szCs w:val="28"/>
                <w:lang w:val="ro-RO" w:eastAsia="en-GB"/>
              </w:rPr>
              <w:t>ia privind rezultatele expertizei anticorup</w:t>
            </w:r>
            <w:r w:rsidR="00731669">
              <w:rPr>
                <w:rFonts w:ascii="Times New Roman" w:eastAsia="Times New Roman" w:hAnsi="Times New Roman" w:cs="Times New Roman"/>
                <w:sz w:val="28"/>
                <w:szCs w:val="28"/>
                <w:lang w:val="ro-RO" w:eastAsia="en-GB"/>
              </w:rPr>
              <w:t>ț</w:t>
            </w:r>
            <w:r w:rsidRPr="00980C1E">
              <w:rPr>
                <w:rFonts w:ascii="Times New Roman" w:eastAsia="Times New Roman" w:hAnsi="Times New Roman" w:cs="Times New Roman"/>
                <w:sz w:val="28"/>
                <w:szCs w:val="28"/>
                <w:lang w:val="ro-RO" w:eastAsia="en-GB"/>
              </w:rPr>
              <w:t>ie va fi inclusă după recep</w:t>
            </w:r>
            <w:r w:rsidR="00731669">
              <w:rPr>
                <w:rFonts w:ascii="Times New Roman" w:eastAsia="Times New Roman" w:hAnsi="Times New Roman" w:cs="Times New Roman"/>
                <w:sz w:val="28"/>
                <w:szCs w:val="28"/>
                <w:lang w:val="ro-RO" w:eastAsia="en-GB"/>
              </w:rPr>
              <w:t>ț</w:t>
            </w:r>
            <w:r w:rsidRPr="00980C1E">
              <w:rPr>
                <w:rFonts w:ascii="Times New Roman" w:eastAsia="Times New Roman" w:hAnsi="Times New Roman" w:cs="Times New Roman"/>
                <w:sz w:val="28"/>
                <w:szCs w:val="28"/>
                <w:lang w:val="ro-RO" w:eastAsia="en-GB"/>
              </w:rPr>
              <w:t>ionarea raportului de expertiză anticorup</w:t>
            </w:r>
            <w:r w:rsidR="00731669">
              <w:rPr>
                <w:rFonts w:ascii="Times New Roman" w:eastAsia="Times New Roman" w:hAnsi="Times New Roman" w:cs="Times New Roman"/>
                <w:sz w:val="28"/>
                <w:szCs w:val="28"/>
                <w:lang w:val="ro-RO" w:eastAsia="en-GB"/>
              </w:rPr>
              <w:t>ț</w:t>
            </w:r>
            <w:r w:rsidRPr="00980C1E">
              <w:rPr>
                <w:rFonts w:ascii="Times New Roman" w:eastAsia="Times New Roman" w:hAnsi="Times New Roman" w:cs="Times New Roman"/>
                <w:sz w:val="28"/>
                <w:szCs w:val="28"/>
                <w:lang w:val="ro-RO" w:eastAsia="en-GB"/>
              </w:rPr>
              <w:t>ie în sinteza obiec</w:t>
            </w:r>
            <w:r w:rsidR="00731669">
              <w:rPr>
                <w:rFonts w:ascii="Times New Roman" w:eastAsia="Times New Roman" w:hAnsi="Times New Roman" w:cs="Times New Roman"/>
                <w:sz w:val="28"/>
                <w:szCs w:val="28"/>
                <w:lang w:val="ro-RO" w:eastAsia="en-GB"/>
              </w:rPr>
              <w:t>ț</w:t>
            </w:r>
            <w:r w:rsidRPr="00980C1E">
              <w:rPr>
                <w:rFonts w:ascii="Times New Roman" w:eastAsia="Times New Roman" w:hAnsi="Times New Roman" w:cs="Times New Roman"/>
                <w:sz w:val="28"/>
                <w:szCs w:val="28"/>
                <w:lang w:val="ro-RO" w:eastAsia="en-GB"/>
              </w:rPr>
              <w:t xml:space="preserve">iilor </w:t>
            </w:r>
            <w:r w:rsidR="00731669">
              <w:rPr>
                <w:rFonts w:ascii="Times New Roman" w:eastAsia="Times New Roman" w:hAnsi="Times New Roman" w:cs="Times New Roman"/>
                <w:sz w:val="28"/>
                <w:szCs w:val="28"/>
                <w:lang w:val="ro-RO" w:eastAsia="en-GB"/>
              </w:rPr>
              <w:t>ș</w:t>
            </w:r>
            <w:r w:rsidRPr="00980C1E">
              <w:rPr>
                <w:rFonts w:ascii="Times New Roman" w:eastAsia="Times New Roman" w:hAnsi="Times New Roman" w:cs="Times New Roman"/>
                <w:sz w:val="28"/>
                <w:szCs w:val="28"/>
                <w:lang w:val="ro-RO" w:eastAsia="en-GB"/>
              </w:rPr>
              <w:t>i propunerilor/recomandărilor la proiect</w:t>
            </w:r>
            <w:r w:rsidR="003D6ED8">
              <w:rPr>
                <w:rFonts w:ascii="Times New Roman" w:eastAsia="Times New Roman" w:hAnsi="Times New Roman" w:cs="Times New Roman"/>
                <w:sz w:val="28"/>
                <w:szCs w:val="28"/>
                <w:lang w:val="ro-RO" w:eastAsia="en-GB"/>
              </w:rPr>
              <w:t>ul</w:t>
            </w:r>
            <w:r w:rsidRPr="00980C1E">
              <w:rPr>
                <w:rFonts w:ascii="Times New Roman" w:eastAsia="Times New Roman" w:hAnsi="Times New Roman" w:cs="Times New Roman"/>
                <w:sz w:val="28"/>
                <w:szCs w:val="28"/>
                <w:lang w:val="ro-RO" w:eastAsia="en-GB"/>
              </w:rPr>
              <w:t xml:space="preserve"> de hotărîre.</w:t>
            </w:r>
          </w:p>
        </w:tc>
      </w:tr>
      <w:tr w:rsidR="00B0232E" w:rsidRPr="00980C1E" w14:paraId="45829692" w14:textId="77777777" w:rsidTr="00B0232E">
        <w:trPr>
          <w:trHeight w:val="395"/>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53D0EA" w14:textId="77777777" w:rsidR="00B0232E" w:rsidRPr="00980C1E" w:rsidRDefault="00B0232E" w:rsidP="00F254A6">
            <w:pPr>
              <w:spacing w:after="0" w:line="240" w:lineRule="auto"/>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b/>
                <w:sz w:val="28"/>
                <w:szCs w:val="28"/>
                <w:lang w:val="ro-RO" w:eastAsia="en-GB"/>
              </w:rPr>
              <w:t>9.</w:t>
            </w:r>
            <w:r w:rsidRPr="00980C1E">
              <w:rPr>
                <w:rFonts w:ascii="Times New Roman" w:eastAsia="Times New Roman" w:hAnsi="Times New Roman"/>
                <w:b/>
                <w:sz w:val="28"/>
                <w:szCs w:val="28"/>
                <w:lang w:val="ro-RO" w:eastAsia="en-GB"/>
              </w:rPr>
              <w:t xml:space="preserve"> Constatările expertizei de compatibilitate</w:t>
            </w:r>
          </w:p>
        </w:tc>
      </w:tr>
      <w:tr w:rsidR="00B0232E" w:rsidRPr="00980C1E" w14:paraId="04A541CD" w14:textId="77777777" w:rsidTr="00545589">
        <w:trPr>
          <w:trHeight w:val="557"/>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D738A7" w14:textId="77777777" w:rsidR="00B0232E" w:rsidRPr="00980C1E" w:rsidRDefault="00B0232E" w:rsidP="00731669">
            <w:pPr>
              <w:spacing w:after="0" w:line="240" w:lineRule="auto"/>
              <w:ind w:firstLine="507"/>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sz w:val="28"/>
                <w:szCs w:val="28"/>
                <w:lang w:val="ro-RO" w:eastAsia="en-GB"/>
              </w:rPr>
              <w:t>Proiectul de hotăr</w:t>
            </w:r>
            <w:r w:rsidR="00731669">
              <w:rPr>
                <w:rFonts w:ascii="Times New Roman" w:eastAsia="Times New Roman" w:hAnsi="Times New Roman"/>
                <w:sz w:val="28"/>
                <w:szCs w:val="28"/>
                <w:lang w:val="ro-RO" w:eastAsia="en-GB"/>
              </w:rPr>
              <w:t>î</w:t>
            </w:r>
            <w:r w:rsidRPr="00980C1E">
              <w:rPr>
                <w:rFonts w:ascii="Times New Roman" w:eastAsia="Times New Roman" w:hAnsi="Times New Roman"/>
                <w:sz w:val="28"/>
                <w:szCs w:val="28"/>
                <w:lang w:val="ro-RO" w:eastAsia="en-GB"/>
              </w:rPr>
              <w:t xml:space="preserve">re nu conține norme privind armonizarea </w:t>
            </w:r>
            <w:r w:rsidRPr="00980C1E">
              <w:rPr>
                <w:rFonts w:ascii="Times New Roman" w:hAnsi="Times New Roman"/>
                <w:sz w:val="28"/>
                <w:szCs w:val="28"/>
                <w:lang w:val="ro-RO"/>
              </w:rPr>
              <w:t>legislației naționale cu legislația Uniunii Europene.</w:t>
            </w:r>
          </w:p>
        </w:tc>
      </w:tr>
      <w:tr w:rsidR="00B24167" w:rsidRPr="00980C1E" w14:paraId="135F2F64" w14:textId="77777777" w:rsidTr="00545589">
        <w:trPr>
          <w:trHeight w:val="27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DA14DC" w14:textId="77777777" w:rsidR="00B24167" w:rsidRPr="00980C1E" w:rsidRDefault="00B0232E" w:rsidP="00F254A6">
            <w:pPr>
              <w:spacing w:after="0" w:line="240" w:lineRule="auto"/>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b/>
                <w:bCs/>
                <w:sz w:val="28"/>
                <w:szCs w:val="28"/>
                <w:lang w:val="ro-RO" w:eastAsia="en-GB"/>
              </w:rPr>
              <w:t>10</w:t>
            </w:r>
            <w:r w:rsidR="00B24167" w:rsidRPr="00980C1E">
              <w:rPr>
                <w:rFonts w:ascii="Times New Roman" w:eastAsia="Times New Roman" w:hAnsi="Times New Roman" w:cs="Times New Roman"/>
                <w:b/>
                <w:bCs/>
                <w:sz w:val="28"/>
                <w:szCs w:val="28"/>
                <w:lang w:val="ro-RO" w:eastAsia="en-GB"/>
              </w:rPr>
              <w:t>.</w:t>
            </w:r>
            <w:r w:rsidR="00B24167" w:rsidRPr="00980C1E">
              <w:rPr>
                <w:rFonts w:ascii="Times New Roman" w:eastAsia="Times New Roman" w:hAnsi="Times New Roman" w:cs="Times New Roman"/>
                <w:sz w:val="28"/>
                <w:szCs w:val="28"/>
                <w:lang w:val="ro-RO" w:eastAsia="en-GB"/>
              </w:rPr>
              <w:t xml:space="preserve"> </w:t>
            </w:r>
            <w:r w:rsidR="00B24167" w:rsidRPr="00980C1E">
              <w:rPr>
                <w:rFonts w:ascii="Times New Roman" w:eastAsia="Times New Roman" w:hAnsi="Times New Roman" w:cs="Times New Roman"/>
                <w:b/>
                <w:sz w:val="28"/>
                <w:szCs w:val="28"/>
                <w:lang w:val="ro-RO" w:eastAsia="en-GB"/>
              </w:rPr>
              <w:t>Constatările expertizei juridice</w:t>
            </w:r>
          </w:p>
        </w:tc>
      </w:tr>
      <w:tr w:rsidR="00B24167" w:rsidRPr="00980C1E" w14:paraId="1C1C1097" w14:textId="77777777" w:rsidTr="00545589">
        <w:trPr>
          <w:trHeight w:val="817"/>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A9BF48" w14:textId="77777777" w:rsidR="00B24167" w:rsidRPr="00980C1E" w:rsidRDefault="00B24167" w:rsidP="000516E1">
            <w:pPr>
              <w:spacing w:after="0" w:line="240" w:lineRule="auto"/>
              <w:ind w:firstLine="507"/>
              <w:jc w:val="both"/>
              <w:rPr>
                <w:rFonts w:ascii="Times New Roman" w:eastAsia="Times New Roman" w:hAnsi="Times New Roman" w:cs="Times New Roman"/>
                <w:sz w:val="28"/>
                <w:szCs w:val="28"/>
                <w:lang w:val="ro-RO" w:eastAsia="en-GB"/>
              </w:rPr>
            </w:pPr>
            <w:r w:rsidRPr="00980C1E">
              <w:rPr>
                <w:rFonts w:ascii="Times New Roman" w:eastAsia="Times New Roman" w:hAnsi="Times New Roman" w:cs="Times New Roman"/>
                <w:sz w:val="28"/>
                <w:szCs w:val="28"/>
                <w:lang w:val="ro-RO" w:eastAsia="en-GB"/>
              </w:rPr>
              <w:t>Informa</w:t>
            </w:r>
            <w:r w:rsidR="000516E1">
              <w:rPr>
                <w:rFonts w:ascii="Times New Roman" w:eastAsia="Times New Roman" w:hAnsi="Times New Roman" w:cs="Times New Roman"/>
                <w:sz w:val="28"/>
                <w:szCs w:val="28"/>
                <w:lang w:val="ro-RO" w:eastAsia="en-GB"/>
              </w:rPr>
              <w:t>ț</w:t>
            </w:r>
            <w:r w:rsidRPr="00980C1E">
              <w:rPr>
                <w:rFonts w:ascii="Times New Roman" w:eastAsia="Times New Roman" w:hAnsi="Times New Roman" w:cs="Times New Roman"/>
                <w:sz w:val="28"/>
                <w:szCs w:val="28"/>
                <w:lang w:val="ro-RO" w:eastAsia="en-GB"/>
              </w:rPr>
              <w:t>ia referitoare la concluziile expertizei juridice privind compatibilitatea proiectului de hotărîre cu alte acte normative în vigoare, precum şi respectarea normelor de tehnică legislativă va fi inclusă după recep</w:t>
            </w:r>
            <w:r w:rsidR="000516E1">
              <w:rPr>
                <w:rFonts w:ascii="Times New Roman" w:eastAsia="Times New Roman" w:hAnsi="Times New Roman" w:cs="Times New Roman"/>
                <w:sz w:val="28"/>
                <w:szCs w:val="28"/>
                <w:lang w:val="ro-RO" w:eastAsia="en-GB"/>
              </w:rPr>
              <w:t>ț</w:t>
            </w:r>
            <w:r w:rsidRPr="00980C1E">
              <w:rPr>
                <w:rFonts w:ascii="Times New Roman" w:eastAsia="Times New Roman" w:hAnsi="Times New Roman" w:cs="Times New Roman"/>
                <w:sz w:val="28"/>
                <w:szCs w:val="28"/>
                <w:lang w:val="ro-RO" w:eastAsia="en-GB"/>
              </w:rPr>
              <w:t>ionarea expertizei juridice</w:t>
            </w:r>
            <w:r w:rsidRPr="00980C1E">
              <w:rPr>
                <w:rFonts w:ascii="Times New Roman" w:hAnsi="Times New Roman" w:cs="Times New Roman"/>
                <w:sz w:val="28"/>
                <w:szCs w:val="28"/>
                <w:lang w:val="ro-RO"/>
              </w:rPr>
              <w:t xml:space="preserve"> </w:t>
            </w:r>
            <w:r w:rsidRPr="00980C1E">
              <w:rPr>
                <w:rFonts w:ascii="Times New Roman" w:eastAsia="Times New Roman" w:hAnsi="Times New Roman" w:cs="Times New Roman"/>
                <w:sz w:val="28"/>
                <w:szCs w:val="28"/>
                <w:lang w:val="ro-RO" w:eastAsia="en-GB"/>
              </w:rPr>
              <w:t>în sinteza obiec</w:t>
            </w:r>
            <w:r w:rsidR="000516E1">
              <w:rPr>
                <w:rFonts w:ascii="Times New Roman" w:eastAsia="Times New Roman" w:hAnsi="Times New Roman" w:cs="Times New Roman"/>
                <w:sz w:val="28"/>
                <w:szCs w:val="28"/>
                <w:lang w:val="ro-RO" w:eastAsia="en-GB"/>
              </w:rPr>
              <w:t>ț</w:t>
            </w:r>
            <w:r w:rsidRPr="00980C1E">
              <w:rPr>
                <w:rFonts w:ascii="Times New Roman" w:eastAsia="Times New Roman" w:hAnsi="Times New Roman" w:cs="Times New Roman"/>
                <w:sz w:val="28"/>
                <w:szCs w:val="28"/>
                <w:lang w:val="ro-RO" w:eastAsia="en-GB"/>
              </w:rPr>
              <w:t>iilor şi propunerilor/recomandărilor la proiectul de hotărîre.</w:t>
            </w:r>
          </w:p>
        </w:tc>
      </w:tr>
    </w:tbl>
    <w:p w14:paraId="7BB525C0" w14:textId="77777777" w:rsidR="00545589" w:rsidRPr="00980C1E" w:rsidRDefault="00545589" w:rsidP="00F254A6">
      <w:pPr>
        <w:spacing w:line="240" w:lineRule="auto"/>
        <w:rPr>
          <w:rFonts w:ascii="Times New Roman" w:hAnsi="Times New Roman" w:cs="Times New Roman"/>
          <w:b/>
          <w:sz w:val="28"/>
          <w:szCs w:val="28"/>
          <w:lang w:val="ro-RO"/>
        </w:rPr>
      </w:pPr>
      <w:r w:rsidRPr="00980C1E">
        <w:rPr>
          <w:rFonts w:ascii="Times New Roman" w:hAnsi="Times New Roman" w:cs="Times New Roman"/>
          <w:b/>
          <w:sz w:val="28"/>
          <w:szCs w:val="28"/>
          <w:lang w:val="ro-RO"/>
        </w:rPr>
        <w:t xml:space="preserve">     </w:t>
      </w:r>
    </w:p>
    <w:p w14:paraId="6F764017" w14:textId="77777777" w:rsidR="00364B10" w:rsidRPr="00980C1E" w:rsidRDefault="00364B10" w:rsidP="00F254A6">
      <w:pPr>
        <w:spacing w:line="240" w:lineRule="auto"/>
        <w:rPr>
          <w:rFonts w:ascii="Times New Roman" w:hAnsi="Times New Roman" w:cs="Times New Roman"/>
          <w:b/>
          <w:sz w:val="28"/>
          <w:szCs w:val="28"/>
          <w:lang w:val="ro-RO"/>
        </w:rPr>
      </w:pPr>
    </w:p>
    <w:p w14:paraId="2685B09D" w14:textId="77777777" w:rsidR="00545589" w:rsidRPr="00980C1E" w:rsidRDefault="00545589" w:rsidP="00F254A6">
      <w:pPr>
        <w:spacing w:after="0" w:line="240" w:lineRule="auto"/>
        <w:rPr>
          <w:rFonts w:ascii="Times New Roman" w:hAnsi="Times New Roman" w:cs="Times New Roman"/>
          <w:b/>
          <w:sz w:val="28"/>
          <w:szCs w:val="28"/>
          <w:lang w:val="ro-RO"/>
        </w:rPr>
      </w:pPr>
      <w:r w:rsidRPr="00980C1E">
        <w:rPr>
          <w:rFonts w:ascii="Times New Roman" w:hAnsi="Times New Roman" w:cs="Times New Roman"/>
          <w:b/>
          <w:sz w:val="28"/>
          <w:szCs w:val="28"/>
          <w:lang w:val="ro-RO"/>
        </w:rPr>
        <w:t>Viceprim-ministru,</w:t>
      </w:r>
    </w:p>
    <w:p w14:paraId="71D52D0E" w14:textId="77777777" w:rsidR="00545589" w:rsidRPr="00980C1E" w:rsidRDefault="00545589" w:rsidP="00F254A6">
      <w:pPr>
        <w:spacing w:after="0" w:line="240" w:lineRule="auto"/>
        <w:rPr>
          <w:rFonts w:ascii="Times New Roman" w:hAnsi="Times New Roman" w:cs="Times New Roman"/>
          <w:b/>
          <w:sz w:val="28"/>
          <w:szCs w:val="28"/>
          <w:lang w:val="ro-RO"/>
        </w:rPr>
      </w:pPr>
      <w:r w:rsidRPr="00980C1E">
        <w:rPr>
          <w:rFonts w:ascii="Times New Roman" w:hAnsi="Times New Roman" w:cs="Times New Roman"/>
          <w:b/>
          <w:sz w:val="28"/>
          <w:szCs w:val="28"/>
          <w:lang w:val="ro-RO"/>
        </w:rPr>
        <w:t>Ministru al Finanțelor</w:t>
      </w:r>
      <w:r w:rsidRPr="00980C1E">
        <w:rPr>
          <w:rFonts w:ascii="Times New Roman" w:hAnsi="Times New Roman" w:cs="Times New Roman"/>
          <w:b/>
          <w:sz w:val="28"/>
          <w:szCs w:val="28"/>
          <w:lang w:val="ro-RO"/>
        </w:rPr>
        <w:tab/>
      </w:r>
      <w:r w:rsidRPr="00980C1E">
        <w:rPr>
          <w:rFonts w:ascii="Times New Roman" w:hAnsi="Times New Roman" w:cs="Times New Roman"/>
          <w:sz w:val="28"/>
          <w:szCs w:val="28"/>
          <w:lang w:val="ro-RO"/>
        </w:rPr>
        <w:t xml:space="preserve">                                                     </w:t>
      </w:r>
      <w:r w:rsidRPr="00980C1E">
        <w:rPr>
          <w:rFonts w:ascii="Times New Roman" w:hAnsi="Times New Roman" w:cs="Times New Roman"/>
          <w:b/>
          <w:sz w:val="28"/>
          <w:szCs w:val="28"/>
          <w:lang w:val="ro-RO"/>
        </w:rPr>
        <w:t>Serghei PUȘCUȚA</w:t>
      </w:r>
    </w:p>
    <w:p w14:paraId="1A2E70DE" w14:textId="77777777" w:rsidR="00EF105C" w:rsidRPr="00980C1E" w:rsidRDefault="00EF105C" w:rsidP="00F254A6">
      <w:pPr>
        <w:spacing w:line="240" w:lineRule="auto"/>
        <w:rPr>
          <w:lang w:val="ro-RO"/>
        </w:rPr>
      </w:pPr>
    </w:p>
    <w:sectPr w:rsidR="00EF105C" w:rsidRPr="00980C1E" w:rsidSect="002E3EAA">
      <w:pgSz w:w="11906" w:h="16838"/>
      <w:pgMar w:top="851"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BB3"/>
    <w:multiLevelType w:val="hybridMultilevel"/>
    <w:tmpl w:val="D0CCE152"/>
    <w:lvl w:ilvl="0" w:tplc="064CD98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2F13249D"/>
    <w:multiLevelType w:val="hybridMultilevel"/>
    <w:tmpl w:val="289E9D6E"/>
    <w:lvl w:ilvl="0" w:tplc="EE804826">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4F4F3ED8"/>
    <w:multiLevelType w:val="hybridMultilevel"/>
    <w:tmpl w:val="8A4282B0"/>
    <w:lvl w:ilvl="0" w:tplc="1B4EDBB6">
      <w:start w:val="1"/>
      <w:numFmt w:val="decimal"/>
      <w:lvlText w:val="%1)"/>
      <w:lvlJc w:val="left"/>
      <w:pPr>
        <w:ind w:left="1069" w:hanging="360"/>
      </w:pPr>
      <w:rPr>
        <w:rFonts w:hint="default"/>
        <w:b w:val="0"/>
        <w:lang w:val="en-US"/>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89"/>
    <w:rsid w:val="00044A49"/>
    <w:rsid w:val="000516E1"/>
    <w:rsid w:val="00063417"/>
    <w:rsid w:val="00067F93"/>
    <w:rsid w:val="00082C09"/>
    <w:rsid w:val="000833F9"/>
    <w:rsid w:val="00092104"/>
    <w:rsid w:val="000D30A4"/>
    <w:rsid w:val="000E0F72"/>
    <w:rsid w:val="000E24BD"/>
    <w:rsid w:val="00123E40"/>
    <w:rsid w:val="001E2AD3"/>
    <w:rsid w:val="001E2D77"/>
    <w:rsid w:val="001F29C3"/>
    <w:rsid w:val="00233D9E"/>
    <w:rsid w:val="002851E2"/>
    <w:rsid w:val="00295E17"/>
    <w:rsid w:val="002B21D5"/>
    <w:rsid w:val="002B4AF2"/>
    <w:rsid w:val="002C117B"/>
    <w:rsid w:val="002E3B26"/>
    <w:rsid w:val="002E3EAA"/>
    <w:rsid w:val="003132DD"/>
    <w:rsid w:val="0031511F"/>
    <w:rsid w:val="003239F2"/>
    <w:rsid w:val="00332B8A"/>
    <w:rsid w:val="00364B10"/>
    <w:rsid w:val="003676FB"/>
    <w:rsid w:val="00386E8F"/>
    <w:rsid w:val="003B2DE5"/>
    <w:rsid w:val="003B472B"/>
    <w:rsid w:val="003C1D57"/>
    <w:rsid w:val="003D18B1"/>
    <w:rsid w:val="003D3528"/>
    <w:rsid w:val="003D6ED8"/>
    <w:rsid w:val="004619EB"/>
    <w:rsid w:val="00472272"/>
    <w:rsid w:val="004A45A8"/>
    <w:rsid w:val="004A6A03"/>
    <w:rsid w:val="00542056"/>
    <w:rsid w:val="00542CF2"/>
    <w:rsid w:val="00545589"/>
    <w:rsid w:val="0057707C"/>
    <w:rsid w:val="005B51CB"/>
    <w:rsid w:val="005D2623"/>
    <w:rsid w:val="005D7DF7"/>
    <w:rsid w:val="005E51DA"/>
    <w:rsid w:val="005F206E"/>
    <w:rsid w:val="00655EAF"/>
    <w:rsid w:val="00672D4A"/>
    <w:rsid w:val="006D02FE"/>
    <w:rsid w:val="006D58EC"/>
    <w:rsid w:val="006F0F6B"/>
    <w:rsid w:val="006F2EF6"/>
    <w:rsid w:val="00723D1C"/>
    <w:rsid w:val="00731669"/>
    <w:rsid w:val="00732242"/>
    <w:rsid w:val="007A57B1"/>
    <w:rsid w:val="007B22E8"/>
    <w:rsid w:val="007B3B86"/>
    <w:rsid w:val="007B6311"/>
    <w:rsid w:val="008115EE"/>
    <w:rsid w:val="008363A1"/>
    <w:rsid w:val="00852DE4"/>
    <w:rsid w:val="008577C6"/>
    <w:rsid w:val="008928C8"/>
    <w:rsid w:val="008A6E0F"/>
    <w:rsid w:val="008B5158"/>
    <w:rsid w:val="008D285E"/>
    <w:rsid w:val="008D44E6"/>
    <w:rsid w:val="008D7959"/>
    <w:rsid w:val="00914A9C"/>
    <w:rsid w:val="00946F82"/>
    <w:rsid w:val="00951C97"/>
    <w:rsid w:val="00980C1E"/>
    <w:rsid w:val="00A24AEB"/>
    <w:rsid w:val="00A46430"/>
    <w:rsid w:val="00A466D3"/>
    <w:rsid w:val="00A770D6"/>
    <w:rsid w:val="00A86C23"/>
    <w:rsid w:val="00AC7583"/>
    <w:rsid w:val="00AD5C06"/>
    <w:rsid w:val="00B0232E"/>
    <w:rsid w:val="00B07285"/>
    <w:rsid w:val="00B24167"/>
    <w:rsid w:val="00B60FD2"/>
    <w:rsid w:val="00B62650"/>
    <w:rsid w:val="00BC5356"/>
    <w:rsid w:val="00BE1094"/>
    <w:rsid w:val="00C63856"/>
    <w:rsid w:val="00CC26A6"/>
    <w:rsid w:val="00CC2ED7"/>
    <w:rsid w:val="00CC516C"/>
    <w:rsid w:val="00CD4393"/>
    <w:rsid w:val="00CE2DFD"/>
    <w:rsid w:val="00CF127A"/>
    <w:rsid w:val="00D113A0"/>
    <w:rsid w:val="00D2056F"/>
    <w:rsid w:val="00D27500"/>
    <w:rsid w:val="00D847E1"/>
    <w:rsid w:val="00DA71D6"/>
    <w:rsid w:val="00DB680D"/>
    <w:rsid w:val="00E076D9"/>
    <w:rsid w:val="00E5292F"/>
    <w:rsid w:val="00E647A8"/>
    <w:rsid w:val="00E70AA3"/>
    <w:rsid w:val="00E97FE4"/>
    <w:rsid w:val="00EB2E5F"/>
    <w:rsid w:val="00EC46BC"/>
    <w:rsid w:val="00ED1EE1"/>
    <w:rsid w:val="00EF105C"/>
    <w:rsid w:val="00EF44D3"/>
    <w:rsid w:val="00F1553B"/>
    <w:rsid w:val="00F254A6"/>
    <w:rsid w:val="00F44D30"/>
    <w:rsid w:val="00F52886"/>
    <w:rsid w:val="00F541F8"/>
    <w:rsid w:val="00F678F6"/>
    <w:rsid w:val="00F8077D"/>
    <w:rsid w:val="00FA7C0C"/>
    <w:rsid w:val="00FF4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0F0E"/>
  <w15:chartTrackingRefBased/>
  <w15:docId w15:val="{35344ED8-4F92-4A46-9A8A-DF408CF4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589"/>
  </w:style>
  <w:style w:type="paragraph" w:styleId="Heading4">
    <w:name w:val="heading 4"/>
    <w:basedOn w:val="Normal"/>
    <w:link w:val="Heading4Char"/>
    <w:uiPriority w:val="9"/>
    <w:qFormat/>
    <w:rsid w:val="006D58E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Normal"/>
    <w:link w:val="NormalWebChar"/>
    <w:uiPriority w:val="99"/>
    <w:unhideWhenUsed/>
    <w:qFormat/>
    <w:rsid w:val="0054558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545589"/>
    <w:rPr>
      <w:rFonts w:ascii="Times New Roman" w:eastAsia="Times New Roman" w:hAnsi="Times New Roman" w:cs="Times New Roman"/>
      <w:sz w:val="24"/>
      <w:szCs w:val="24"/>
      <w:lang w:val="ro-RO" w:eastAsia="ro-RO"/>
    </w:rPr>
  </w:style>
  <w:style w:type="paragraph" w:customStyle="1" w:styleId="cp">
    <w:name w:val="cp"/>
    <w:basedOn w:val="Normal"/>
    <w:rsid w:val="00545589"/>
    <w:pPr>
      <w:spacing w:after="0" w:line="240" w:lineRule="auto"/>
      <w:jc w:val="center"/>
    </w:pPr>
    <w:rPr>
      <w:rFonts w:ascii="Times New Roman" w:eastAsia="Times New Roman" w:hAnsi="Times New Roman" w:cs="Times New Roman"/>
      <w:b/>
      <w:bCs/>
      <w:sz w:val="24"/>
      <w:szCs w:val="24"/>
      <w:lang w:val="ru-RU" w:eastAsia="ru-RU"/>
    </w:rPr>
  </w:style>
  <w:style w:type="paragraph" w:styleId="ListParagraph">
    <w:name w:val="List Paragraph"/>
    <w:basedOn w:val="Normal"/>
    <w:uiPriority w:val="34"/>
    <w:qFormat/>
    <w:rsid w:val="00545589"/>
    <w:pPr>
      <w:spacing w:after="200" w:line="276" w:lineRule="auto"/>
      <w:ind w:left="720"/>
      <w:contextualSpacing/>
    </w:pPr>
    <w:rPr>
      <w:rFonts w:ascii="Calibri" w:eastAsia="Times New Roman" w:hAnsi="Calibri" w:cs="Times New Roman"/>
      <w:lang w:val="ru-RU" w:eastAsia="ru-RU"/>
    </w:rPr>
  </w:style>
  <w:style w:type="paragraph" w:styleId="HTMLPreformatted">
    <w:name w:val="HTML Preformatted"/>
    <w:basedOn w:val="Normal"/>
    <w:link w:val="HTMLPreformattedChar"/>
    <w:rsid w:val="0054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rsid w:val="00545589"/>
    <w:rPr>
      <w:rFonts w:ascii="Courier New" w:eastAsia="Times New Roman" w:hAnsi="Courier New" w:cs="Courier New"/>
      <w:sz w:val="20"/>
      <w:szCs w:val="20"/>
      <w:lang w:val="ru-RU" w:eastAsia="ru-RU"/>
    </w:rPr>
  </w:style>
  <w:style w:type="character" w:customStyle="1" w:styleId="apple-style-span">
    <w:name w:val="apple-style-span"/>
    <w:basedOn w:val="DefaultParagraphFont"/>
    <w:rsid w:val="00DA71D6"/>
  </w:style>
  <w:style w:type="paragraph" w:customStyle="1" w:styleId="cb">
    <w:name w:val="cb"/>
    <w:basedOn w:val="Normal"/>
    <w:rsid w:val="00B24167"/>
    <w:pPr>
      <w:spacing w:after="0" w:line="240" w:lineRule="auto"/>
      <w:jc w:val="center"/>
    </w:pPr>
    <w:rPr>
      <w:rFonts w:ascii="Times New Roman" w:eastAsia="Times New Roman" w:hAnsi="Times New Roman" w:cs="Times New Roman"/>
      <w:b/>
      <w:bCs/>
      <w:sz w:val="24"/>
      <w:szCs w:val="24"/>
      <w:lang w:val="ru-RU" w:eastAsia="ru-RU"/>
    </w:rPr>
  </w:style>
  <w:style w:type="character" w:customStyle="1" w:styleId="docheader">
    <w:name w:val="doc_header"/>
    <w:rsid w:val="00B24167"/>
    <w:rPr>
      <w:rFonts w:cs="Times New Roman"/>
    </w:rPr>
  </w:style>
  <w:style w:type="paragraph" w:styleId="BalloonText">
    <w:name w:val="Balloon Text"/>
    <w:basedOn w:val="Normal"/>
    <w:link w:val="BalloonTextChar"/>
    <w:uiPriority w:val="99"/>
    <w:semiHidden/>
    <w:unhideWhenUsed/>
    <w:rsid w:val="00BE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094"/>
    <w:rPr>
      <w:rFonts w:ascii="Segoe UI" w:hAnsi="Segoe UI" w:cs="Segoe UI"/>
      <w:sz w:val="18"/>
      <w:szCs w:val="18"/>
    </w:rPr>
  </w:style>
  <w:style w:type="character" w:styleId="Hyperlink">
    <w:name w:val="Hyperlink"/>
    <w:basedOn w:val="DefaultParagraphFont"/>
    <w:uiPriority w:val="99"/>
    <w:unhideWhenUsed/>
    <w:rsid w:val="00723D1C"/>
    <w:rPr>
      <w:color w:val="0000FF"/>
      <w:u w:val="single"/>
    </w:rPr>
  </w:style>
  <w:style w:type="character" w:customStyle="1" w:styleId="Heading4Char">
    <w:name w:val="Heading 4 Char"/>
    <w:basedOn w:val="DefaultParagraphFont"/>
    <w:link w:val="Heading4"/>
    <w:uiPriority w:val="9"/>
    <w:rsid w:val="006D58EC"/>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6D5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Golban</dc:creator>
  <cp:keywords/>
  <dc:description/>
  <cp:lastModifiedBy>Bonari Doina</cp:lastModifiedBy>
  <cp:revision>2</cp:revision>
  <cp:lastPrinted>2020-02-29T07:31:00Z</cp:lastPrinted>
  <dcterms:created xsi:type="dcterms:W3CDTF">2020-08-04T10:19:00Z</dcterms:created>
  <dcterms:modified xsi:type="dcterms:W3CDTF">2020-08-04T10:19:00Z</dcterms:modified>
</cp:coreProperties>
</file>