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81" w:rsidRDefault="002E0B81" w:rsidP="008B201B">
      <w:pPr>
        <w:ind w:firstLine="709"/>
        <w:jc w:val="center"/>
        <w:rPr>
          <w:b/>
          <w:bCs/>
          <w:iCs/>
          <w:sz w:val="28"/>
          <w:szCs w:val="28"/>
          <w:lang w:val="ro-RO"/>
        </w:rPr>
      </w:pPr>
      <w:r>
        <w:rPr>
          <w:b/>
          <w:bCs/>
          <w:iCs/>
          <w:sz w:val="28"/>
          <w:szCs w:val="28"/>
          <w:lang w:val="ro-RO"/>
        </w:rPr>
        <w:t>NOTĂ INFORMATIVĂ</w:t>
      </w:r>
    </w:p>
    <w:p w:rsidR="007D225A" w:rsidRPr="007D225A" w:rsidRDefault="007D225A" w:rsidP="007D225A">
      <w:pPr>
        <w:jc w:val="center"/>
        <w:rPr>
          <w:sz w:val="28"/>
          <w:szCs w:val="28"/>
          <w:lang w:val="en-GB"/>
        </w:rPr>
      </w:pPr>
      <w:r w:rsidRPr="007D225A">
        <w:rPr>
          <w:sz w:val="28"/>
          <w:szCs w:val="28"/>
          <w:lang w:val="en-GB"/>
        </w:rPr>
        <w:t xml:space="preserve">la </w:t>
      </w:r>
      <w:proofErr w:type="spellStart"/>
      <w:r w:rsidRPr="007D225A">
        <w:rPr>
          <w:sz w:val="28"/>
          <w:szCs w:val="28"/>
          <w:lang w:val="en-GB"/>
        </w:rPr>
        <w:t>proiectul</w:t>
      </w:r>
      <w:proofErr w:type="spellEnd"/>
      <w:r w:rsidRPr="007D225A">
        <w:rPr>
          <w:sz w:val="28"/>
          <w:szCs w:val="28"/>
          <w:lang w:val="en-GB"/>
        </w:rPr>
        <w:t xml:space="preserve"> </w:t>
      </w:r>
      <w:proofErr w:type="spellStart"/>
      <w:r w:rsidRPr="007D225A">
        <w:rPr>
          <w:sz w:val="28"/>
          <w:szCs w:val="28"/>
          <w:lang w:val="en-GB"/>
        </w:rPr>
        <w:t>Hotărârii</w:t>
      </w:r>
      <w:proofErr w:type="spellEnd"/>
      <w:r w:rsidRPr="007D225A">
        <w:rPr>
          <w:sz w:val="28"/>
          <w:szCs w:val="28"/>
          <w:lang w:val="en-GB"/>
        </w:rPr>
        <w:t xml:space="preserve"> </w:t>
      </w:r>
      <w:proofErr w:type="spellStart"/>
      <w:r w:rsidRPr="007D225A">
        <w:rPr>
          <w:sz w:val="28"/>
          <w:szCs w:val="28"/>
          <w:lang w:val="en-GB"/>
        </w:rPr>
        <w:t>Guvernului</w:t>
      </w:r>
      <w:proofErr w:type="spellEnd"/>
      <w:r w:rsidRPr="007D225A">
        <w:rPr>
          <w:sz w:val="28"/>
          <w:szCs w:val="28"/>
          <w:lang w:val="en-GB"/>
        </w:rPr>
        <w:t xml:space="preserve"> cu </w:t>
      </w:r>
      <w:proofErr w:type="spellStart"/>
      <w:r w:rsidRPr="007D225A">
        <w:rPr>
          <w:sz w:val="28"/>
          <w:szCs w:val="28"/>
          <w:lang w:val="en-GB"/>
        </w:rPr>
        <w:t>privire</w:t>
      </w:r>
      <w:proofErr w:type="spellEnd"/>
      <w:r w:rsidRPr="007D225A">
        <w:rPr>
          <w:sz w:val="28"/>
          <w:szCs w:val="28"/>
          <w:lang w:val="en-GB"/>
        </w:rPr>
        <w:t xml:space="preserve"> la </w:t>
      </w:r>
      <w:proofErr w:type="spellStart"/>
      <w:r w:rsidRPr="007D225A">
        <w:rPr>
          <w:sz w:val="28"/>
          <w:szCs w:val="28"/>
          <w:lang w:val="en-GB"/>
        </w:rPr>
        <w:t>Instituția</w:t>
      </w:r>
      <w:proofErr w:type="spellEnd"/>
      <w:r w:rsidRPr="007D225A">
        <w:rPr>
          <w:sz w:val="28"/>
          <w:szCs w:val="28"/>
          <w:lang w:val="en-GB"/>
        </w:rPr>
        <w:t xml:space="preserve"> </w:t>
      </w:r>
      <w:proofErr w:type="spellStart"/>
      <w:r w:rsidRPr="007D225A">
        <w:rPr>
          <w:sz w:val="28"/>
          <w:szCs w:val="28"/>
          <w:lang w:val="en-GB"/>
        </w:rPr>
        <w:t>publică</w:t>
      </w:r>
      <w:proofErr w:type="spellEnd"/>
    </w:p>
    <w:p w:rsidR="00F4656B" w:rsidRDefault="007D225A" w:rsidP="007D225A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„</w:t>
      </w:r>
      <w:r w:rsidRPr="007D225A">
        <w:rPr>
          <w:sz w:val="28"/>
          <w:szCs w:val="28"/>
          <w:lang w:val="en-GB"/>
        </w:rPr>
        <w:t xml:space="preserve">Camera de Stat </w:t>
      </w:r>
      <w:proofErr w:type="spellStart"/>
      <w:r w:rsidRPr="007D225A">
        <w:rPr>
          <w:sz w:val="28"/>
          <w:szCs w:val="28"/>
          <w:lang w:val="en-GB"/>
        </w:rPr>
        <w:t>pentru</w:t>
      </w:r>
      <w:proofErr w:type="spellEnd"/>
      <w:r w:rsidRPr="007D225A">
        <w:rPr>
          <w:sz w:val="28"/>
          <w:szCs w:val="28"/>
          <w:lang w:val="en-GB"/>
        </w:rPr>
        <w:t xml:space="preserve"> </w:t>
      </w:r>
      <w:proofErr w:type="spellStart"/>
      <w:r w:rsidRPr="007D225A">
        <w:rPr>
          <w:sz w:val="28"/>
          <w:szCs w:val="28"/>
          <w:lang w:val="en-GB"/>
        </w:rPr>
        <w:t>Supravegherea</w:t>
      </w:r>
      <w:proofErr w:type="spellEnd"/>
      <w:r w:rsidRPr="007D225A">
        <w:rPr>
          <w:sz w:val="28"/>
          <w:szCs w:val="28"/>
          <w:lang w:val="en-GB"/>
        </w:rPr>
        <w:t xml:space="preserve"> </w:t>
      </w:r>
      <w:proofErr w:type="spellStart"/>
      <w:r w:rsidRPr="007D225A">
        <w:rPr>
          <w:sz w:val="28"/>
          <w:szCs w:val="28"/>
          <w:lang w:val="en-GB"/>
        </w:rPr>
        <w:t>Marcării</w:t>
      </w:r>
      <w:proofErr w:type="spellEnd"/>
      <w:r w:rsidRPr="007D225A">
        <w:rPr>
          <w:sz w:val="28"/>
          <w:szCs w:val="28"/>
          <w:lang w:val="en-GB"/>
        </w:rPr>
        <w:t>”</w:t>
      </w:r>
    </w:p>
    <w:p w:rsidR="007D225A" w:rsidRDefault="007D225A" w:rsidP="007D225A">
      <w:pPr>
        <w:jc w:val="center"/>
        <w:rPr>
          <w:i/>
        </w:rPr>
      </w:pPr>
    </w:p>
    <w:tbl>
      <w:tblPr>
        <w:tblW w:w="9936" w:type="dxa"/>
        <w:tblLayout w:type="fixed"/>
        <w:tblLook w:val="04A0" w:firstRow="1" w:lastRow="0" w:firstColumn="1" w:lastColumn="0" w:noHBand="0" w:noVBand="1"/>
      </w:tblPr>
      <w:tblGrid>
        <w:gridCol w:w="9936"/>
      </w:tblGrid>
      <w:tr w:rsidR="00F4656B" w:rsidTr="003769C0">
        <w:trPr>
          <w:trHeight w:val="1"/>
        </w:trPr>
        <w:tc>
          <w:tcPr>
            <w:tcW w:w="9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F4656B" w:rsidRDefault="00F4656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1. </w:t>
            </w:r>
            <w:r>
              <w:rPr>
                <w:b/>
                <w:sz w:val="26"/>
                <w:szCs w:val="26"/>
              </w:rPr>
              <w:t xml:space="preserve">Denumirea autorului </w:t>
            </w:r>
            <w:proofErr w:type="spellStart"/>
            <w:r>
              <w:rPr>
                <w:b/>
                <w:sz w:val="26"/>
                <w:szCs w:val="26"/>
              </w:rPr>
              <w:t>şi</w:t>
            </w:r>
            <w:proofErr w:type="spellEnd"/>
            <w:r>
              <w:rPr>
                <w:b/>
                <w:sz w:val="26"/>
                <w:szCs w:val="26"/>
              </w:rPr>
              <w:t xml:space="preserve">, după caz, a </w:t>
            </w:r>
            <w:r w:rsidR="00191036">
              <w:rPr>
                <w:b/>
                <w:sz w:val="26"/>
                <w:szCs w:val="26"/>
              </w:rPr>
              <w:t>participanților</w:t>
            </w:r>
            <w:r>
              <w:rPr>
                <w:b/>
                <w:sz w:val="26"/>
                <w:szCs w:val="26"/>
              </w:rPr>
              <w:t xml:space="preserve"> la elaborarea proiectului</w:t>
            </w:r>
          </w:p>
        </w:tc>
      </w:tr>
      <w:tr w:rsidR="00F4656B" w:rsidTr="003769C0">
        <w:trPr>
          <w:trHeight w:val="1"/>
        </w:trPr>
        <w:tc>
          <w:tcPr>
            <w:tcW w:w="9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56B" w:rsidRPr="003A0BF3" w:rsidRDefault="00F4656B" w:rsidP="00F4656B">
            <w:pPr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3A0BF3">
              <w:rPr>
                <w:sz w:val="26"/>
                <w:szCs w:val="26"/>
                <w:lang w:val="ro-RO"/>
              </w:rPr>
              <w:t xml:space="preserve">Proiectul hotărârii Guvernului cu privire la </w:t>
            </w:r>
            <w:r w:rsidR="007D225A">
              <w:rPr>
                <w:sz w:val="26"/>
                <w:szCs w:val="26"/>
                <w:lang w:val="ro-RO"/>
              </w:rPr>
              <w:t>Instituția publică „Camera de Stat pentru Supravegherea Marcării”</w:t>
            </w:r>
            <w:r w:rsidRPr="003A0BF3">
              <w:rPr>
                <w:sz w:val="26"/>
                <w:szCs w:val="26"/>
                <w:lang w:val="ro-RO"/>
              </w:rPr>
              <w:t xml:space="preserve"> este elaborat de către Ministerul Finanțelor.</w:t>
            </w:r>
          </w:p>
          <w:p w:rsidR="00F4656B" w:rsidRPr="00F4656B" w:rsidRDefault="00F4656B">
            <w:pPr>
              <w:jc w:val="both"/>
              <w:rPr>
                <w:i/>
                <w:sz w:val="26"/>
                <w:szCs w:val="26"/>
                <w:lang w:val="ro-RO"/>
              </w:rPr>
            </w:pPr>
          </w:p>
        </w:tc>
      </w:tr>
      <w:tr w:rsidR="00F4656B" w:rsidTr="003769C0">
        <w:trPr>
          <w:trHeight w:val="169"/>
        </w:trPr>
        <w:tc>
          <w:tcPr>
            <w:tcW w:w="9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:rsidR="00F4656B" w:rsidRDefault="00F4656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2. </w:t>
            </w:r>
            <w:proofErr w:type="spellStart"/>
            <w:r>
              <w:rPr>
                <w:b/>
                <w:sz w:val="26"/>
                <w:szCs w:val="26"/>
              </w:rPr>
              <w:t>Condiţiile</w:t>
            </w:r>
            <w:proofErr w:type="spellEnd"/>
            <w:r>
              <w:rPr>
                <w:b/>
                <w:sz w:val="26"/>
                <w:szCs w:val="26"/>
              </w:rPr>
              <w:t xml:space="preserve"> ce au impus elaborarea proiectului de act normativ </w:t>
            </w:r>
            <w:proofErr w:type="spellStart"/>
            <w:r>
              <w:rPr>
                <w:b/>
                <w:sz w:val="26"/>
                <w:szCs w:val="26"/>
              </w:rPr>
              <w:t>şi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 w:rsidR="00191036">
              <w:rPr>
                <w:b/>
                <w:sz w:val="26"/>
                <w:szCs w:val="26"/>
              </w:rPr>
              <w:t>finalitățile</w:t>
            </w:r>
            <w:r>
              <w:rPr>
                <w:b/>
                <w:sz w:val="26"/>
                <w:szCs w:val="26"/>
              </w:rPr>
              <w:t xml:space="preserve"> urmărite</w:t>
            </w:r>
          </w:p>
        </w:tc>
      </w:tr>
      <w:tr w:rsidR="00F4656B" w:rsidTr="003769C0">
        <w:trPr>
          <w:trHeight w:val="1"/>
        </w:trPr>
        <w:tc>
          <w:tcPr>
            <w:tcW w:w="9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656B" w:rsidRPr="003A0BF3" w:rsidRDefault="00F4656B" w:rsidP="00F4656B">
            <w:pPr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3A0BF3">
              <w:rPr>
                <w:sz w:val="26"/>
                <w:szCs w:val="26"/>
                <w:lang w:val="ro-RO"/>
              </w:rPr>
              <w:t xml:space="preserve">Proiectul hotărârii Guvernului cu privire la </w:t>
            </w:r>
            <w:r w:rsidR="007D225A">
              <w:rPr>
                <w:sz w:val="26"/>
                <w:szCs w:val="26"/>
                <w:lang w:val="ro-RO"/>
              </w:rPr>
              <w:t>Instituția publică „Camera de Stat pentru Supravegherea Marcării”</w:t>
            </w:r>
            <w:r w:rsidRPr="003A0BF3">
              <w:rPr>
                <w:sz w:val="26"/>
                <w:szCs w:val="26"/>
                <w:lang w:val="ro-RO"/>
              </w:rPr>
              <w:t xml:space="preserve"> a fost elaborat </w:t>
            </w:r>
            <w:r w:rsidR="007D225A">
              <w:rPr>
                <w:sz w:val="26"/>
                <w:szCs w:val="26"/>
                <w:lang w:val="ro-RO"/>
              </w:rPr>
              <w:t>în contextul prevederilor art. 19</w:t>
            </w:r>
            <w:r w:rsidR="007D225A">
              <w:t xml:space="preserve"> </w:t>
            </w:r>
            <w:r w:rsidR="007D225A" w:rsidRPr="007D225A">
              <w:rPr>
                <w:sz w:val="26"/>
                <w:szCs w:val="26"/>
                <w:lang w:val="ro-RO"/>
              </w:rPr>
              <w:t>alin.</w:t>
            </w:r>
            <w:r w:rsidR="004A5EBA">
              <w:rPr>
                <w:sz w:val="26"/>
                <w:szCs w:val="26"/>
                <w:lang w:val="ro-RO"/>
              </w:rPr>
              <w:t xml:space="preserve"> </w:t>
            </w:r>
            <w:r w:rsidR="007D225A" w:rsidRPr="007D225A">
              <w:rPr>
                <w:sz w:val="26"/>
                <w:szCs w:val="26"/>
                <w:lang w:val="ro-RO"/>
              </w:rPr>
              <w:t>(3) lit. b) din Legea nr.246/2017 cu privire la întreprinderea de stat și întreprinderea municipală</w:t>
            </w:r>
            <w:r w:rsidR="007D225A">
              <w:rPr>
                <w:sz w:val="26"/>
                <w:szCs w:val="26"/>
                <w:lang w:val="ro-RO"/>
              </w:rPr>
              <w:t xml:space="preserve">, potrivit cărora, Guvernul, </w:t>
            </w:r>
            <w:r w:rsidR="007D225A" w:rsidRPr="007D225A">
              <w:rPr>
                <w:sz w:val="26"/>
                <w:szCs w:val="26"/>
                <w:lang w:val="ro-RO"/>
              </w:rPr>
              <w:t xml:space="preserve">în termen de </w:t>
            </w:r>
            <w:proofErr w:type="spellStart"/>
            <w:r w:rsidR="007D225A" w:rsidRPr="007D225A">
              <w:rPr>
                <w:sz w:val="26"/>
                <w:szCs w:val="26"/>
                <w:lang w:val="ro-RO"/>
              </w:rPr>
              <w:t>pînă</w:t>
            </w:r>
            <w:proofErr w:type="spellEnd"/>
            <w:r w:rsidR="007D225A" w:rsidRPr="007D225A">
              <w:rPr>
                <w:sz w:val="26"/>
                <w:szCs w:val="26"/>
                <w:lang w:val="ro-RO"/>
              </w:rPr>
              <w:t xml:space="preserve"> la 24 de luni de la intrarea în vigoare a legi</w:t>
            </w:r>
            <w:r w:rsidR="007D225A">
              <w:rPr>
                <w:sz w:val="26"/>
                <w:szCs w:val="26"/>
                <w:lang w:val="ro-RO"/>
              </w:rPr>
              <w:t>i prenotate</w:t>
            </w:r>
            <w:r w:rsidR="007D225A" w:rsidRPr="007D225A">
              <w:rPr>
                <w:sz w:val="26"/>
                <w:szCs w:val="26"/>
                <w:lang w:val="ro-RO"/>
              </w:rPr>
              <w:t xml:space="preserve">, </w:t>
            </w:r>
            <w:r w:rsidR="007D225A">
              <w:rPr>
                <w:sz w:val="26"/>
                <w:szCs w:val="26"/>
                <w:lang w:val="ro-RO"/>
              </w:rPr>
              <w:t xml:space="preserve">urma să </w:t>
            </w:r>
            <w:proofErr w:type="spellStart"/>
            <w:r w:rsidR="007D225A">
              <w:rPr>
                <w:sz w:val="26"/>
                <w:szCs w:val="26"/>
                <w:lang w:val="ro-RO"/>
              </w:rPr>
              <w:t>iniţieze</w:t>
            </w:r>
            <w:proofErr w:type="spellEnd"/>
            <w:r w:rsidR="007D225A" w:rsidRPr="007D225A">
              <w:rPr>
                <w:sz w:val="26"/>
                <w:szCs w:val="26"/>
                <w:lang w:val="ro-RO"/>
              </w:rPr>
              <w:t xml:space="preserve"> reorganizarea întreprinderilor de stat în alte forme juridice de organizare prevăzute de </w:t>
            </w:r>
            <w:proofErr w:type="spellStart"/>
            <w:r w:rsidR="007D225A" w:rsidRPr="007D225A">
              <w:rPr>
                <w:sz w:val="26"/>
                <w:szCs w:val="26"/>
                <w:lang w:val="ro-RO"/>
              </w:rPr>
              <w:t>legislaţie</w:t>
            </w:r>
            <w:proofErr w:type="spellEnd"/>
            <w:r w:rsidR="007D225A">
              <w:rPr>
                <w:sz w:val="26"/>
                <w:szCs w:val="26"/>
                <w:lang w:val="ro-RO"/>
              </w:rPr>
              <w:t>. Totodată, necesitatea elaborării proiectului este impusă de m</w:t>
            </w:r>
            <w:r w:rsidR="007D225A" w:rsidRPr="007D225A">
              <w:rPr>
                <w:sz w:val="26"/>
                <w:szCs w:val="26"/>
                <w:lang w:val="ro-RO"/>
              </w:rPr>
              <w:t>odificările operate prin Legea nr.140</w:t>
            </w:r>
            <w:r w:rsidR="007D225A">
              <w:rPr>
                <w:sz w:val="26"/>
                <w:szCs w:val="26"/>
                <w:lang w:val="ro-RO"/>
              </w:rPr>
              <w:t>/</w:t>
            </w:r>
            <w:r w:rsidR="007D225A" w:rsidRPr="007D225A">
              <w:rPr>
                <w:sz w:val="26"/>
                <w:szCs w:val="26"/>
                <w:lang w:val="ro-RO"/>
              </w:rPr>
              <w:t>2018 pentru modificarea si completarea unor a</w:t>
            </w:r>
            <w:r w:rsidR="004A5EBA">
              <w:rPr>
                <w:sz w:val="26"/>
                <w:szCs w:val="26"/>
                <w:lang w:val="ro-RO"/>
              </w:rPr>
              <w:t>cte legislative în Legea nr.282/</w:t>
            </w:r>
            <w:r w:rsidR="007D225A" w:rsidRPr="007D225A">
              <w:rPr>
                <w:sz w:val="26"/>
                <w:szCs w:val="26"/>
                <w:lang w:val="ro-RO"/>
              </w:rPr>
              <w:t xml:space="preserve">2004 privind regimul metalelor prețioase și pietrelor prețioase </w:t>
            </w:r>
            <w:r w:rsidR="007D225A">
              <w:rPr>
                <w:sz w:val="26"/>
                <w:szCs w:val="26"/>
                <w:lang w:val="ro-RO"/>
              </w:rPr>
              <w:t>în partea ce</w:t>
            </w:r>
            <w:r w:rsidR="007D225A" w:rsidRPr="007D225A">
              <w:rPr>
                <w:sz w:val="26"/>
                <w:szCs w:val="26"/>
                <w:lang w:val="ro-RO"/>
              </w:rPr>
              <w:t xml:space="preserve"> vizează modul de organizare și funcționare a structurii organizaționale responsabile de supravegherea marcării de stat</w:t>
            </w:r>
            <w:r w:rsidR="007D225A">
              <w:rPr>
                <w:sz w:val="26"/>
                <w:szCs w:val="26"/>
                <w:lang w:val="ro-RO"/>
              </w:rPr>
              <w:t>.</w:t>
            </w:r>
          </w:p>
          <w:p w:rsidR="00F4656B" w:rsidRDefault="00F4656B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F4656B" w:rsidTr="003769C0">
        <w:trPr>
          <w:trHeight w:val="1"/>
        </w:trPr>
        <w:tc>
          <w:tcPr>
            <w:tcW w:w="9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F4656B" w:rsidRDefault="00B741B2" w:rsidP="00B741B2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3. </w:t>
            </w:r>
            <w:r>
              <w:rPr>
                <w:b/>
                <w:sz w:val="26"/>
                <w:szCs w:val="26"/>
              </w:rPr>
              <w:t xml:space="preserve">Principalele prevederi ale proiectului </w:t>
            </w:r>
            <w:proofErr w:type="spellStart"/>
            <w:r>
              <w:rPr>
                <w:b/>
                <w:sz w:val="26"/>
                <w:szCs w:val="26"/>
              </w:rPr>
              <w:t>şi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evidenţierea</w:t>
            </w:r>
            <w:proofErr w:type="spellEnd"/>
            <w:r>
              <w:rPr>
                <w:b/>
                <w:sz w:val="26"/>
                <w:szCs w:val="26"/>
              </w:rPr>
              <w:t xml:space="preserve"> elementelor noi</w:t>
            </w:r>
          </w:p>
        </w:tc>
      </w:tr>
      <w:tr w:rsidR="00F4656B" w:rsidTr="003769C0">
        <w:trPr>
          <w:trHeight w:val="1"/>
        </w:trPr>
        <w:tc>
          <w:tcPr>
            <w:tcW w:w="9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56B" w:rsidRDefault="00F4656B" w:rsidP="003769C0">
            <w:pPr>
              <w:pStyle w:val="cn"/>
              <w:ind w:firstLine="602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 xml:space="preserve">Proiectul </w:t>
            </w:r>
            <w:r w:rsidR="00191036">
              <w:rPr>
                <w:sz w:val="26"/>
                <w:szCs w:val="26"/>
                <w:lang w:val="ro-MD"/>
              </w:rPr>
              <w:t>prevede</w:t>
            </w:r>
            <w:r>
              <w:rPr>
                <w:sz w:val="26"/>
                <w:szCs w:val="26"/>
                <w:lang w:val="ro-MD"/>
              </w:rPr>
              <w:t>:</w:t>
            </w:r>
          </w:p>
          <w:p w:rsidR="0054227F" w:rsidRDefault="00B741B2" w:rsidP="00B741B2">
            <w:pPr>
              <w:pStyle w:val="cn"/>
              <w:ind w:firstLine="602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 xml:space="preserve">- </w:t>
            </w:r>
            <w:r w:rsidR="0054227F" w:rsidRPr="0054227F">
              <w:rPr>
                <w:sz w:val="26"/>
                <w:szCs w:val="26"/>
                <w:lang w:val="ro-MD"/>
              </w:rPr>
              <w:t xml:space="preserve">reorganizarea Întreprinderii de Stat „Camera de Stat pentru Supravegherea Marcării de pe </w:t>
            </w:r>
            <w:proofErr w:type="spellStart"/>
            <w:r w:rsidR="0054227F" w:rsidRPr="0054227F">
              <w:rPr>
                <w:sz w:val="26"/>
                <w:szCs w:val="26"/>
                <w:lang w:val="ro-MD"/>
              </w:rPr>
              <w:t>lîngă</w:t>
            </w:r>
            <w:proofErr w:type="spellEnd"/>
            <w:r w:rsidR="0054227F" w:rsidRPr="0054227F">
              <w:rPr>
                <w:sz w:val="26"/>
                <w:szCs w:val="26"/>
                <w:lang w:val="ro-MD"/>
              </w:rPr>
              <w:t xml:space="preserve"> Ministerul Finanțelor”  prin tran</w:t>
            </w:r>
            <w:r w:rsidR="004A5EBA">
              <w:rPr>
                <w:sz w:val="26"/>
                <w:szCs w:val="26"/>
                <w:lang w:val="ro-MD"/>
              </w:rPr>
              <w:t>sformare în Instituția publică „</w:t>
            </w:r>
            <w:r w:rsidR="0054227F" w:rsidRPr="0054227F">
              <w:rPr>
                <w:sz w:val="26"/>
                <w:szCs w:val="26"/>
                <w:lang w:val="ro-MD"/>
              </w:rPr>
              <w:t xml:space="preserve">Camera de Stat pentru Supravegherea Marcării”, al cărei fondator este Ministerul Finanțelor. </w:t>
            </w:r>
          </w:p>
          <w:p w:rsidR="0054227F" w:rsidRPr="0054227F" w:rsidRDefault="0054227F" w:rsidP="0054227F">
            <w:pPr>
              <w:pStyle w:val="cn"/>
              <w:ind w:firstLine="602"/>
              <w:jc w:val="both"/>
              <w:rPr>
                <w:sz w:val="26"/>
                <w:szCs w:val="26"/>
                <w:lang w:val="ro-MD"/>
              </w:rPr>
            </w:pPr>
            <w:r w:rsidRPr="0054227F">
              <w:rPr>
                <w:sz w:val="26"/>
                <w:szCs w:val="26"/>
                <w:lang w:val="ro-MD"/>
              </w:rPr>
              <w:t>Prin înființarea unei Instituții publ</w:t>
            </w:r>
            <w:r w:rsidR="004E209B">
              <w:rPr>
                <w:sz w:val="26"/>
                <w:szCs w:val="26"/>
                <w:lang w:val="ro-MD"/>
              </w:rPr>
              <w:t>ice, ca persoană juridică, se v</w:t>
            </w:r>
            <w:r w:rsidRPr="0054227F">
              <w:rPr>
                <w:sz w:val="26"/>
                <w:szCs w:val="26"/>
                <w:lang w:val="ro-MD"/>
              </w:rPr>
              <w:t>a crea un organism similar Oficiilor de Marcare (</w:t>
            </w:r>
            <w:proofErr w:type="spellStart"/>
            <w:r w:rsidRPr="0054227F">
              <w:rPr>
                <w:sz w:val="26"/>
                <w:szCs w:val="26"/>
                <w:lang w:val="ro-MD"/>
              </w:rPr>
              <w:t>Assay</w:t>
            </w:r>
            <w:proofErr w:type="spellEnd"/>
            <w:r w:rsidRPr="0054227F">
              <w:rPr>
                <w:sz w:val="26"/>
                <w:szCs w:val="26"/>
                <w:lang w:val="ro-MD"/>
              </w:rPr>
              <w:t xml:space="preserve"> Office) din țările membre ale Uniunii Europene,  Camerelor de Marcare ale țărilor CSI. Având în vedere importanța pe plan economic a operațiunilor cu metale prețioase și pietre prețioase,  domeniu sensibil cu un nivel ridicat al contrafacerilor și mai ales a evaziunii fiscale, este imperios necesar asigurarea în continuare a  funcționalității instituției independente ce prestează servicii în domeniul supravegherii marcării de stat.</w:t>
            </w:r>
          </w:p>
          <w:p w:rsidR="0054227F" w:rsidRPr="0054227F" w:rsidRDefault="0054227F" w:rsidP="0054227F">
            <w:pPr>
              <w:pStyle w:val="cn"/>
              <w:ind w:firstLine="602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 xml:space="preserve"> </w:t>
            </w:r>
            <w:r w:rsidRPr="0054227F">
              <w:rPr>
                <w:sz w:val="26"/>
                <w:szCs w:val="26"/>
                <w:lang w:val="ro-MD"/>
              </w:rPr>
              <w:t>Instituția publ</w:t>
            </w:r>
            <w:r>
              <w:rPr>
                <w:sz w:val="26"/>
                <w:szCs w:val="26"/>
                <w:lang w:val="ro-MD"/>
              </w:rPr>
              <w:t>ică ca autoritate competentă, v</w:t>
            </w:r>
            <w:r w:rsidRPr="0054227F">
              <w:rPr>
                <w:sz w:val="26"/>
                <w:szCs w:val="26"/>
                <w:lang w:val="ro-MD"/>
              </w:rPr>
              <w:t xml:space="preserve">a exercita funcțiile exclusive ale statului în domeniul probării, marcării, inclusiv expertizării articolelor din metale prețioase la solicitarea organelor de drept, conform Legii </w:t>
            </w:r>
            <w:r w:rsidR="004A5EBA">
              <w:rPr>
                <w:sz w:val="26"/>
                <w:szCs w:val="26"/>
                <w:lang w:val="ro-MD"/>
              </w:rPr>
              <w:t xml:space="preserve">nr. </w:t>
            </w:r>
            <w:r w:rsidRPr="0054227F">
              <w:rPr>
                <w:sz w:val="26"/>
                <w:szCs w:val="26"/>
                <w:lang w:val="ro-MD"/>
              </w:rPr>
              <w:t>282</w:t>
            </w:r>
            <w:r w:rsidR="004A5EBA">
              <w:rPr>
                <w:sz w:val="26"/>
                <w:szCs w:val="26"/>
                <w:lang w:val="ro-MD"/>
              </w:rPr>
              <w:t>/2</w:t>
            </w:r>
            <w:r w:rsidRPr="0054227F">
              <w:rPr>
                <w:sz w:val="26"/>
                <w:szCs w:val="26"/>
                <w:lang w:val="ro-MD"/>
              </w:rPr>
              <w:t>004 privind regimul metalelor prețioase și pietrelor prețioase.</w:t>
            </w:r>
          </w:p>
          <w:p w:rsidR="0054227F" w:rsidRPr="0054227F" w:rsidRDefault="0054227F" w:rsidP="0054227F">
            <w:pPr>
              <w:pStyle w:val="cn"/>
              <w:ind w:firstLine="602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 xml:space="preserve"> </w:t>
            </w:r>
            <w:r w:rsidRPr="0054227F">
              <w:rPr>
                <w:sz w:val="26"/>
                <w:szCs w:val="26"/>
                <w:lang w:val="ro-MD"/>
              </w:rPr>
              <w:t xml:space="preserve">Prin urmare, conform art. 15 al Legii </w:t>
            </w:r>
            <w:r w:rsidR="004A5EBA">
              <w:rPr>
                <w:sz w:val="26"/>
                <w:szCs w:val="26"/>
                <w:lang w:val="ro-MD"/>
              </w:rPr>
              <w:t xml:space="preserve">nr. </w:t>
            </w:r>
            <w:r w:rsidRPr="0054227F">
              <w:rPr>
                <w:sz w:val="26"/>
                <w:szCs w:val="26"/>
                <w:lang w:val="ro-MD"/>
              </w:rPr>
              <w:t>308</w:t>
            </w:r>
            <w:r w:rsidR="004A5EBA">
              <w:rPr>
                <w:sz w:val="26"/>
                <w:szCs w:val="26"/>
                <w:lang w:val="ro-MD"/>
              </w:rPr>
              <w:t>/</w:t>
            </w:r>
            <w:r w:rsidRPr="0054227F">
              <w:rPr>
                <w:sz w:val="26"/>
                <w:szCs w:val="26"/>
                <w:lang w:val="ro-MD"/>
              </w:rPr>
              <w:t>2017 cu privire la prevenirea și combaterea spălării ban</w:t>
            </w:r>
            <w:r w:rsidR="004A5EBA">
              <w:rPr>
                <w:sz w:val="26"/>
                <w:szCs w:val="26"/>
                <w:lang w:val="ro-MD"/>
              </w:rPr>
              <w:t xml:space="preserve">ilor și finanțării terorismului, instituția publică nou formată </w:t>
            </w:r>
            <w:r w:rsidRPr="0054227F">
              <w:rPr>
                <w:sz w:val="26"/>
                <w:szCs w:val="26"/>
                <w:lang w:val="ro-MD"/>
              </w:rPr>
              <w:t>va exercita funcțiile de supraveghere pentru entități care practică activitate de întreprinzător în domeniul metalelor prețioase.</w:t>
            </w:r>
          </w:p>
          <w:p w:rsidR="0054227F" w:rsidRDefault="0054227F" w:rsidP="0054227F">
            <w:pPr>
              <w:pStyle w:val="cn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 xml:space="preserve">          </w:t>
            </w:r>
            <w:r w:rsidRPr="0054227F">
              <w:rPr>
                <w:sz w:val="26"/>
                <w:szCs w:val="26"/>
                <w:lang w:val="ro-MD"/>
              </w:rPr>
              <w:t>Camera de Stat pentru Supravegherea M</w:t>
            </w:r>
            <w:r>
              <w:rPr>
                <w:sz w:val="26"/>
                <w:szCs w:val="26"/>
                <w:lang w:val="ro-MD"/>
              </w:rPr>
              <w:t>arcării ca Instituție publică v</w:t>
            </w:r>
            <w:r w:rsidRPr="0054227F">
              <w:rPr>
                <w:sz w:val="26"/>
                <w:szCs w:val="26"/>
                <w:lang w:val="ro-MD"/>
              </w:rPr>
              <w:t>a dispune de autonomie financiară. Activita</w:t>
            </w:r>
            <w:r w:rsidR="004A5EBA">
              <w:rPr>
                <w:sz w:val="26"/>
                <w:szCs w:val="26"/>
                <w:lang w:val="ro-MD"/>
              </w:rPr>
              <w:t xml:space="preserve">tea </w:t>
            </w:r>
            <w:bookmarkStart w:id="0" w:name="_GoBack"/>
            <w:bookmarkEnd w:id="0"/>
            <w:r w:rsidR="004A5EBA">
              <w:rPr>
                <w:sz w:val="26"/>
                <w:szCs w:val="26"/>
                <w:lang w:val="ro-MD"/>
              </w:rPr>
              <w:t>instituției se v</w:t>
            </w:r>
            <w:r w:rsidRPr="0054227F">
              <w:rPr>
                <w:sz w:val="26"/>
                <w:szCs w:val="26"/>
                <w:lang w:val="ro-MD"/>
              </w:rPr>
              <w:t>a efectua din contul veniturilor colectate de la prestarea serviciilor, conform tarifelor aprobate de către Guvern.</w:t>
            </w:r>
          </w:p>
          <w:p w:rsidR="0054227F" w:rsidRPr="0054227F" w:rsidRDefault="00B741B2" w:rsidP="0054227F">
            <w:pPr>
              <w:pStyle w:val="cn"/>
              <w:ind w:firstLine="602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 xml:space="preserve">- </w:t>
            </w:r>
            <w:r w:rsidR="0054227F">
              <w:rPr>
                <w:sz w:val="26"/>
                <w:szCs w:val="26"/>
                <w:lang w:val="ro-MD"/>
              </w:rPr>
              <w:t>aprobarea</w:t>
            </w:r>
            <w:r w:rsidR="0054227F" w:rsidRPr="0054227F">
              <w:rPr>
                <w:sz w:val="26"/>
                <w:szCs w:val="26"/>
                <w:lang w:val="ro-MD"/>
              </w:rPr>
              <w:t xml:space="preserve"> Statutul</w:t>
            </w:r>
            <w:r w:rsidR="0054227F">
              <w:rPr>
                <w:sz w:val="26"/>
                <w:szCs w:val="26"/>
                <w:lang w:val="ro-MD"/>
              </w:rPr>
              <w:t>ui</w:t>
            </w:r>
            <w:r w:rsidR="0054227F" w:rsidRPr="0054227F">
              <w:rPr>
                <w:sz w:val="26"/>
                <w:szCs w:val="26"/>
                <w:lang w:val="ro-MD"/>
              </w:rPr>
              <w:t xml:space="preserve"> </w:t>
            </w:r>
            <w:proofErr w:type="spellStart"/>
            <w:r w:rsidR="0054227F" w:rsidRPr="0054227F">
              <w:rPr>
                <w:sz w:val="26"/>
                <w:szCs w:val="26"/>
                <w:lang w:val="ro-MD"/>
              </w:rPr>
              <w:t>Instituţiei</w:t>
            </w:r>
            <w:proofErr w:type="spellEnd"/>
            <w:r w:rsidR="0054227F" w:rsidRPr="0054227F">
              <w:rPr>
                <w:sz w:val="26"/>
                <w:szCs w:val="26"/>
                <w:lang w:val="ro-MD"/>
              </w:rPr>
              <w:t xml:space="preserve"> publice „Camera de Stat pentru Supraveghere</w:t>
            </w:r>
            <w:r w:rsidR="0054227F">
              <w:rPr>
                <w:sz w:val="26"/>
                <w:szCs w:val="26"/>
                <w:lang w:val="ro-MD"/>
              </w:rPr>
              <w:t xml:space="preserve">a </w:t>
            </w:r>
            <w:proofErr w:type="spellStart"/>
            <w:r w:rsidR="0054227F">
              <w:rPr>
                <w:sz w:val="26"/>
                <w:szCs w:val="26"/>
                <w:lang w:val="ro-MD"/>
              </w:rPr>
              <w:t>Marcarii</w:t>
            </w:r>
            <w:proofErr w:type="spellEnd"/>
            <w:r w:rsidR="0054227F">
              <w:rPr>
                <w:sz w:val="26"/>
                <w:szCs w:val="26"/>
                <w:lang w:val="ro-MD"/>
              </w:rPr>
              <w:t>”</w:t>
            </w:r>
            <w:r w:rsidR="0054227F" w:rsidRPr="0054227F">
              <w:rPr>
                <w:sz w:val="26"/>
                <w:szCs w:val="26"/>
                <w:lang w:val="ro-MD"/>
              </w:rPr>
              <w:t>;</w:t>
            </w:r>
          </w:p>
          <w:p w:rsidR="00F4656B" w:rsidRDefault="0054227F" w:rsidP="0054227F">
            <w:pPr>
              <w:pStyle w:val="cn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 xml:space="preserve">         - aprobarea modificărilor </w:t>
            </w:r>
            <w:proofErr w:type="spellStart"/>
            <w:r>
              <w:rPr>
                <w:sz w:val="26"/>
                <w:szCs w:val="26"/>
                <w:lang w:val="ro-MD"/>
              </w:rPr>
              <w:t>şi</w:t>
            </w:r>
            <w:proofErr w:type="spellEnd"/>
            <w:r>
              <w:rPr>
                <w:sz w:val="26"/>
                <w:szCs w:val="26"/>
                <w:lang w:val="ro-MD"/>
              </w:rPr>
              <w:t xml:space="preserve"> completărilor</w:t>
            </w:r>
            <w:r w:rsidRPr="0054227F">
              <w:rPr>
                <w:sz w:val="26"/>
                <w:szCs w:val="26"/>
                <w:lang w:val="ro-MD"/>
              </w:rPr>
              <w:t xml:space="preserve"> ce se operează în unele </w:t>
            </w:r>
            <w:proofErr w:type="spellStart"/>
            <w:r w:rsidRPr="0054227F">
              <w:rPr>
                <w:sz w:val="26"/>
                <w:szCs w:val="26"/>
                <w:lang w:val="ro-MD"/>
              </w:rPr>
              <w:t>hotărîri</w:t>
            </w:r>
            <w:proofErr w:type="spellEnd"/>
            <w:r w:rsidRPr="0054227F">
              <w:rPr>
                <w:sz w:val="26"/>
                <w:szCs w:val="26"/>
                <w:lang w:val="ro-MD"/>
              </w:rPr>
              <w:t xml:space="preserve"> ale Guvernului, </w:t>
            </w:r>
            <w:r>
              <w:rPr>
                <w:sz w:val="26"/>
                <w:szCs w:val="26"/>
                <w:lang w:val="ro-MD"/>
              </w:rPr>
              <w:t>reieșind din reorganizarea întreprinderii vizate</w:t>
            </w:r>
            <w:r w:rsidRPr="0054227F">
              <w:rPr>
                <w:sz w:val="26"/>
                <w:szCs w:val="26"/>
                <w:lang w:val="ro-MD"/>
              </w:rPr>
              <w:t>.</w:t>
            </w:r>
          </w:p>
          <w:p w:rsidR="004A5EBA" w:rsidRDefault="004A5EBA" w:rsidP="0054227F">
            <w:pPr>
              <w:pStyle w:val="cn"/>
              <w:jc w:val="both"/>
              <w:rPr>
                <w:sz w:val="26"/>
                <w:szCs w:val="26"/>
                <w:lang w:val="ro-MD"/>
              </w:rPr>
            </w:pPr>
          </w:p>
        </w:tc>
      </w:tr>
      <w:tr w:rsidR="00F4656B" w:rsidTr="003769C0">
        <w:trPr>
          <w:trHeight w:val="1"/>
        </w:trPr>
        <w:tc>
          <w:tcPr>
            <w:tcW w:w="9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F4656B" w:rsidRDefault="003769C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lastRenderedPageBreak/>
              <w:t xml:space="preserve">4. Fundamentarea </w:t>
            </w:r>
            <w:proofErr w:type="spellStart"/>
            <w:r>
              <w:rPr>
                <w:b/>
                <w:iCs/>
                <w:sz w:val="26"/>
                <w:szCs w:val="26"/>
              </w:rPr>
              <w:t>economico</w:t>
            </w:r>
            <w:proofErr w:type="spellEnd"/>
            <w:r>
              <w:rPr>
                <w:b/>
                <w:iCs/>
                <w:sz w:val="26"/>
                <w:szCs w:val="26"/>
              </w:rPr>
              <w:t>-financiară</w:t>
            </w:r>
          </w:p>
        </w:tc>
      </w:tr>
      <w:tr w:rsidR="00F4656B" w:rsidTr="003769C0">
        <w:trPr>
          <w:trHeight w:val="1"/>
        </w:trPr>
        <w:tc>
          <w:tcPr>
            <w:tcW w:w="9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769C0" w:rsidRDefault="007D225A" w:rsidP="008B201B">
            <w:pPr>
              <w:ind w:firstLine="602"/>
              <w:jc w:val="both"/>
              <w:rPr>
                <w:sz w:val="26"/>
                <w:szCs w:val="26"/>
                <w:lang w:val="en-GB"/>
              </w:rPr>
            </w:pPr>
            <w:proofErr w:type="spellStart"/>
            <w:r>
              <w:rPr>
                <w:sz w:val="26"/>
                <w:szCs w:val="26"/>
                <w:lang w:val="en-GB"/>
              </w:rPr>
              <w:t>Implementarea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p</w:t>
            </w:r>
            <w:r w:rsidR="003769C0">
              <w:rPr>
                <w:sz w:val="26"/>
                <w:szCs w:val="26"/>
                <w:lang w:val="en-GB"/>
              </w:rPr>
              <w:t>roiectului</w:t>
            </w:r>
            <w:proofErr w:type="spellEnd"/>
            <w:r w:rsidR="003769C0">
              <w:rPr>
                <w:sz w:val="26"/>
                <w:szCs w:val="26"/>
                <w:lang w:val="en-GB"/>
              </w:rPr>
              <w:t xml:space="preserve"> de </w:t>
            </w:r>
            <w:proofErr w:type="spellStart"/>
            <w:r w:rsidR="003769C0">
              <w:rPr>
                <w:sz w:val="26"/>
                <w:szCs w:val="26"/>
                <w:lang w:val="en-GB"/>
              </w:rPr>
              <w:t>lege</w:t>
            </w:r>
            <w:proofErr w:type="spellEnd"/>
            <w:r w:rsidR="003769C0">
              <w:rPr>
                <w:sz w:val="26"/>
                <w:szCs w:val="26"/>
                <w:lang w:val="en-GB"/>
              </w:rPr>
              <w:t xml:space="preserve"> nu </w:t>
            </w:r>
            <w:proofErr w:type="spellStart"/>
            <w:r w:rsidR="003769C0">
              <w:rPr>
                <w:sz w:val="26"/>
                <w:szCs w:val="26"/>
                <w:lang w:val="en-GB"/>
              </w:rPr>
              <w:t>implică</w:t>
            </w:r>
            <w:proofErr w:type="spellEnd"/>
            <w:r w:rsidR="003769C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3769C0">
              <w:rPr>
                <w:sz w:val="26"/>
                <w:szCs w:val="26"/>
                <w:lang w:val="en-GB"/>
              </w:rPr>
              <w:t>alocarea</w:t>
            </w:r>
            <w:proofErr w:type="spellEnd"/>
            <w:r w:rsidR="003769C0">
              <w:rPr>
                <w:sz w:val="26"/>
                <w:szCs w:val="26"/>
                <w:lang w:val="en-GB"/>
              </w:rPr>
              <w:t xml:space="preserve"> de </w:t>
            </w:r>
            <w:proofErr w:type="spellStart"/>
            <w:r w:rsidR="003769C0">
              <w:rPr>
                <w:sz w:val="26"/>
                <w:szCs w:val="26"/>
                <w:lang w:val="en-GB"/>
              </w:rPr>
              <w:t>mijloace</w:t>
            </w:r>
            <w:proofErr w:type="spellEnd"/>
            <w:r w:rsidR="003769C0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3769C0">
              <w:rPr>
                <w:sz w:val="26"/>
                <w:szCs w:val="26"/>
                <w:lang w:val="en-GB"/>
              </w:rPr>
              <w:t>financia</w:t>
            </w:r>
            <w:r w:rsidR="0054227F">
              <w:rPr>
                <w:sz w:val="26"/>
                <w:szCs w:val="26"/>
                <w:lang w:val="en-GB"/>
              </w:rPr>
              <w:t>re</w:t>
            </w:r>
            <w:proofErr w:type="spellEnd"/>
            <w:r w:rsidR="0054227F">
              <w:rPr>
                <w:sz w:val="26"/>
                <w:szCs w:val="26"/>
                <w:lang w:val="en-GB"/>
              </w:rPr>
              <w:t xml:space="preserve"> din </w:t>
            </w:r>
            <w:proofErr w:type="spellStart"/>
            <w:r w:rsidR="0054227F">
              <w:rPr>
                <w:sz w:val="26"/>
                <w:szCs w:val="26"/>
                <w:lang w:val="en-GB"/>
              </w:rPr>
              <w:t>contul</w:t>
            </w:r>
            <w:proofErr w:type="spellEnd"/>
            <w:r w:rsidR="0054227F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54227F">
              <w:rPr>
                <w:sz w:val="26"/>
                <w:szCs w:val="26"/>
                <w:lang w:val="en-GB"/>
              </w:rPr>
              <w:t>bugetului</w:t>
            </w:r>
            <w:proofErr w:type="spellEnd"/>
            <w:r w:rsidR="0054227F">
              <w:rPr>
                <w:sz w:val="26"/>
                <w:szCs w:val="26"/>
                <w:lang w:val="en-GB"/>
              </w:rPr>
              <w:t xml:space="preserve"> de stat,</w:t>
            </w:r>
            <w:r w:rsidR="0054227F">
              <w:t xml:space="preserve"> </w:t>
            </w:r>
            <w:proofErr w:type="spellStart"/>
            <w:r w:rsidR="0054227F" w:rsidRPr="0054227F">
              <w:rPr>
                <w:sz w:val="26"/>
                <w:szCs w:val="26"/>
                <w:lang w:val="en-GB"/>
              </w:rPr>
              <w:t>deoarece</w:t>
            </w:r>
            <w:proofErr w:type="spellEnd"/>
            <w:r w:rsidR="0054227F" w:rsidRPr="0054227F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54227F" w:rsidRPr="0054227F">
              <w:rPr>
                <w:sz w:val="26"/>
                <w:szCs w:val="26"/>
                <w:lang w:val="en-GB"/>
              </w:rPr>
              <w:t>cheltuielile</w:t>
            </w:r>
            <w:proofErr w:type="spellEnd"/>
            <w:r w:rsidR="0054227F" w:rsidRPr="0054227F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54227F" w:rsidRPr="0054227F">
              <w:rPr>
                <w:sz w:val="26"/>
                <w:szCs w:val="26"/>
                <w:lang w:val="en-GB"/>
              </w:rPr>
              <w:t>ce</w:t>
            </w:r>
            <w:proofErr w:type="spellEnd"/>
            <w:r w:rsidR="0054227F" w:rsidRPr="0054227F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54227F" w:rsidRPr="0054227F">
              <w:rPr>
                <w:sz w:val="26"/>
                <w:szCs w:val="26"/>
                <w:lang w:val="en-GB"/>
              </w:rPr>
              <w:t>ţin</w:t>
            </w:r>
            <w:proofErr w:type="spellEnd"/>
            <w:r w:rsidR="0054227F" w:rsidRPr="0054227F">
              <w:rPr>
                <w:sz w:val="26"/>
                <w:szCs w:val="26"/>
                <w:lang w:val="en-GB"/>
              </w:rPr>
              <w:t xml:space="preserve"> de </w:t>
            </w:r>
            <w:proofErr w:type="spellStart"/>
            <w:r w:rsidR="0054227F" w:rsidRPr="0054227F">
              <w:rPr>
                <w:sz w:val="26"/>
                <w:szCs w:val="26"/>
                <w:lang w:val="en-GB"/>
              </w:rPr>
              <w:t>disponibilizarea</w:t>
            </w:r>
            <w:proofErr w:type="spellEnd"/>
            <w:r w:rsidR="0054227F" w:rsidRPr="0054227F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54227F" w:rsidRPr="0054227F">
              <w:rPr>
                <w:sz w:val="26"/>
                <w:szCs w:val="26"/>
                <w:lang w:val="en-GB"/>
              </w:rPr>
              <w:t>personalului</w:t>
            </w:r>
            <w:proofErr w:type="spellEnd"/>
            <w:r w:rsidR="0054227F" w:rsidRPr="0054227F">
              <w:rPr>
                <w:sz w:val="26"/>
                <w:szCs w:val="26"/>
                <w:lang w:val="en-GB"/>
              </w:rPr>
              <w:t xml:space="preserve"> se </w:t>
            </w:r>
            <w:proofErr w:type="spellStart"/>
            <w:r w:rsidR="0054227F" w:rsidRPr="0054227F">
              <w:rPr>
                <w:sz w:val="26"/>
                <w:szCs w:val="26"/>
                <w:lang w:val="en-GB"/>
              </w:rPr>
              <w:t>vor</w:t>
            </w:r>
            <w:proofErr w:type="spellEnd"/>
            <w:r w:rsidR="0054227F" w:rsidRPr="0054227F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54227F" w:rsidRPr="0054227F">
              <w:rPr>
                <w:sz w:val="26"/>
                <w:szCs w:val="26"/>
                <w:lang w:val="en-GB"/>
              </w:rPr>
              <w:t>efectua</w:t>
            </w:r>
            <w:proofErr w:type="spellEnd"/>
            <w:r w:rsidR="0054227F" w:rsidRPr="0054227F">
              <w:rPr>
                <w:sz w:val="26"/>
                <w:szCs w:val="26"/>
                <w:lang w:val="en-GB"/>
              </w:rPr>
              <w:t xml:space="preserve"> din </w:t>
            </w:r>
            <w:proofErr w:type="spellStart"/>
            <w:r w:rsidR="0054227F" w:rsidRPr="0054227F">
              <w:rPr>
                <w:sz w:val="26"/>
                <w:szCs w:val="26"/>
                <w:lang w:val="en-GB"/>
              </w:rPr>
              <w:t>contul</w:t>
            </w:r>
            <w:proofErr w:type="spellEnd"/>
            <w:r w:rsidR="0054227F" w:rsidRPr="0054227F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54227F" w:rsidRPr="0054227F">
              <w:rPr>
                <w:sz w:val="26"/>
                <w:szCs w:val="26"/>
                <w:lang w:val="en-GB"/>
              </w:rPr>
              <w:t>veniturilor</w:t>
            </w:r>
            <w:proofErr w:type="spellEnd"/>
            <w:r w:rsidR="0054227F" w:rsidRPr="0054227F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54227F" w:rsidRPr="0054227F">
              <w:rPr>
                <w:sz w:val="26"/>
                <w:szCs w:val="26"/>
                <w:lang w:val="en-GB"/>
              </w:rPr>
              <w:t>proprii</w:t>
            </w:r>
            <w:proofErr w:type="spellEnd"/>
            <w:r w:rsidR="0054227F">
              <w:rPr>
                <w:sz w:val="26"/>
                <w:szCs w:val="26"/>
                <w:lang w:val="en-GB"/>
              </w:rPr>
              <w:t xml:space="preserve"> ale</w:t>
            </w:r>
            <w:r w:rsidR="0054227F" w:rsidRPr="0054227F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54227F" w:rsidRPr="0054227F">
              <w:rPr>
                <w:sz w:val="26"/>
                <w:szCs w:val="26"/>
                <w:lang w:val="en-GB"/>
              </w:rPr>
              <w:t>persoanei</w:t>
            </w:r>
            <w:proofErr w:type="spellEnd"/>
            <w:r w:rsidR="0054227F" w:rsidRPr="0054227F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54227F" w:rsidRPr="0054227F">
              <w:rPr>
                <w:sz w:val="26"/>
                <w:szCs w:val="26"/>
                <w:lang w:val="en-GB"/>
              </w:rPr>
              <w:t>juridice</w:t>
            </w:r>
            <w:proofErr w:type="spellEnd"/>
            <w:r w:rsidR="0054227F" w:rsidRPr="0054227F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54227F" w:rsidRPr="0054227F">
              <w:rPr>
                <w:sz w:val="26"/>
                <w:szCs w:val="26"/>
                <w:lang w:val="en-GB"/>
              </w:rPr>
              <w:t>reorganizate</w:t>
            </w:r>
            <w:proofErr w:type="spellEnd"/>
            <w:r w:rsidR="0054227F" w:rsidRPr="0054227F">
              <w:rPr>
                <w:sz w:val="26"/>
                <w:szCs w:val="26"/>
                <w:lang w:val="en-GB"/>
              </w:rPr>
              <w:t>.</w:t>
            </w:r>
          </w:p>
          <w:p w:rsidR="00F4656B" w:rsidRPr="003769C0" w:rsidRDefault="00F4656B">
            <w:pPr>
              <w:pStyle w:val="NormalWeb"/>
              <w:shd w:val="clear" w:color="auto" w:fill="FFFFFF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F4656B" w:rsidTr="003769C0">
        <w:trPr>
          <w:trHeight w:val="1"/>
        </w:trPr>
        <w:tc>
          <w:tcPr>
            <w:tcW w:w="9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F4656B" w:rsidRDefault="00191036" w:rsidP="00191036">
            <w:pPr>
              <w:tabs>
                <w:tab w:val="left" w:pos="884"/>
                <w:tab w:val="left" w:pos="1196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F4656B">
              <w:rPr>
                <w:b/>
                <w:sz w:val="26"/>
                <w:szCs w:val="26"/>
              </w:rPr>
              <w:t>. Modul de încorporare a actului în cadrul normativ în vigoare</w:t>
            </w:r>
          </w:p>
        </w:tc>
      </w:tr>
      <w:tr w:rsidR="003769C0" w:rsidTr="003769C0">
        <w:trPr>
          <w:trHeight w:val="1"/>
        </w:trPr>
        <w:tc>
          <w:tcPr>
            <w:tcW w:w="9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9C0" w:rsidRPr="003A0BF3" w:rsidRDefault="00191036" w:rsidP="003769C0">
            <w:pPr>
              <w:ind w:firstLine="594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Proiectul propus este un proiect de </w:t>
            </w:r>
            <w:proofErr w:type="spellStart"/>
            <w:r>
              <w:rPr>
                <w:sz w:val="26"/>
                <w:szCs w:val="26"/>
                <w:lang w:val="ro-RO"/>
              </w:rPr>
              <w:t>Hotăr</w:t>
            </w:r>
            <w:r w:rsidR="0006550E">
              <w:rPr>
                <w:sz w:val="26"/>
                <w:szCs w:val="26"/>
                <w:lang w:val="ro-RO"/>
              </w:rPr>
              <w:t>î</w:t>
            </w:r>
            <w:r>
              <w:rPr>
                <w:sz w:val="26"/>
                <w:szCs w:val="26"/>
                <w:lang w:val="ro-RO"/>
              </w:rPr>
              <w:t>re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a Guvernului ce presupune modificarea </w:t>
            </w:r>
            <w:r w:rsidR="0006550E">
              <w:rPr>
                <w:sz w:val="26"/>
                <w:szCs w:val="26"/>
                <w:lang w:val="ro-RO"/>
              </w:rPr>
              <w:t xml:space="preserve">următoarelor </w:t>
            </w:r>
            <w:proofErr w:type="spellStart"/>
            <w:r>
              <w:rPr>
                <w:sz w:val="26"/>
                <w:szCs w:val="26"/>
                <w:lang w:val="ro-RO"/>
              </w:rPr>
              <w:t>Hotărîri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ale Guvernului</w:t>
            </w:r>
            <w:r w:rsidR="0006550E">
              <w:rPr>
                <w:sz w:val="26"/>
                <w:szCs w:val="26"/>
                <w:lang w:val="ro-RO"/>
              </w:rPr>
              <w:t>:</w:t>
            </w:r>
            <w:r w:rsidR="003769C0" w:rsidRPr="003A0BF3">
              <w:rPr>
                <w:sz w:val="26"/>
                <w:szCs w:val="26"/>
                <w:lang w:val="ro-RO"/>
              </w:rPr>
              <w:t xml:space="preserve">    </w:t>
            </w:r>
          </w:p>
          <w:p w:rsidR="0036765C" w:rsidRPr="00755A0A" w:rsidRDefault="0036765C" w:rsidP="003676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Hotărîrea</w:t>
            </w:r>
            <w:proofErr w:type="spellEnd"/>
            <w:r w:rsidRPr="0054227F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Guvernului nr.769/1995 cu privire la aprobarea Regulilor de </w:t>
            </w:r>
            <w:proofErr w:type="spellStart"/>
            <w:r w:rsidRPr="0054227F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achiziţionare</w:t>
            </w:r>
            <w:proofErr w:type="spellEnd"/>
            <w:r w:rsidRPr="0054227F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de la populație a metalelor prețioase și a pietrelor prețioase ce se conțin în articole și resturi</w:t>
            </w:r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;</w:t>
            </w:r>
          </w:p>
          <w:p w:rsidR="0036765C" w:rsidRPr="00755A0A" w:rsidRDefault="0036765C" w:rsidP="003676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Hotărîrea</w:t>
            </w:r>
            <w:proofErr w:type="spellEnd"/>
            <w:r w:rsidRPr="0054227F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Guvernului nr.261/1996 cu privire la aprobarea Regulilor comerțului cu amănuntul, recepționării, păstrării și evidenței articolelor din metale prețioase și pietre prețioase</w:t>
            </w:r>
            <w:r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;</w:t>
            </w:r>
          </w:p>
          <w:p w:rsidR="003769C0" w:rsidRPr="00755A0A" w:rsidRDefault="0054227F" w:rsidP="005422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proofErr w:type="spellStart"/>
            <w:r w:rsidRPr="0054227F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Hotărîrea</w:t>
            </w:r>
            <w:proofErr w:type="spellEnd"/>
            <w:r w:rsidRPr="0054227F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Guvernului nr.892/2001 cu privire la supravegherea marcării de stat</w:t>
            </w:r>
            <w:r w:rsidR="003769C0" w:rsidRPr="00755A0A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;</w:t>
            </w:r>
          </w:p>
          <w:p w:rsidR="0036765C" w:rsidRDefault="0036765C" w:rsidP="003676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Hotărîrea</w:t>
            </w:r>
            <w:proofErr w:type="spellEnd"/>
            <w:r w:rsidRPr="0054227F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Guvernului nr.972/2001 pentru aprobarea Regulamentului cu privire la modul de </w:t>
            </w:r>
            <w:proofErr w:type="spellStart"/>
            <w:r w:rsidRPr="0054227F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evidenţă</w:t>
            </w:r>
            <w:proofErr w:type="spellEnd"/>
            <w:r w:rsidRPr="0054227F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,  evaluare </w:t>
            </w:r>
            <w:proofErr w:type="spellStart"/>
            <w:r w:rsidRPr="0054227F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şi</w:t>
            </w:r>
            <w:proofErr w:type="spellEnd"/>
            <w:r w:rsidRPr="0054227F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</w:t>
            </w:r>
            <w:proofErr w:type="spellStart"/>
            <w:r w:rsidRPr="0054227F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vînzare</w:t>
            </w:r>
            <w:proofErr w:type="spellEnd"/>
            <w:r w:rsidRPr="0054227F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a bunurilor confiscate, fără </w:t>
            </w:r>
            <w:proofErr w:type="spellStart"/>
            <w:r w:rsidRPr="0054227F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stăpîn</w:t>
            </w:r>
            <w:proofErr w:type="spellEnd"/>
            <w:r w:rsidRPr="0054227F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, sechestrate </w:t>
            </w:r>
            <w:proofErr w:type="spellStart"/>
            <w:r w:rsidRPr="0054227F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uşor</w:t>
            </w:r>
            <w:proofErr w:type="spellEnd"/>
            <w:r w:rsidRPr="0054227F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alterabile sau cu termen de păstrare limitat, a corpurilor delicte, a bunurilor trecute în posesia statului cu dre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pt de succesiune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a comorilor.</w:t>
            </w:r>
          </w:p>
          <w:p w:rsidR="0054227F" w:rsidRDefault="0054227F" w:rsidP="005422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proofErr w:type="spellStart"/>
            <w:r w:rsidRPr="0054227F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Hotărîrea</w:t>
            </w:r>
            <w:proofErr w:type="spellEnd"/>
            <w:r w:rsidRPr="0054227F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Guvernului nr.743/2002 cu privire la salarizarea angajaților din unitățile cu autonomie financiară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;</w:t>
            </w:r>
          </w:p>
          <w:p w:rsidR="0036765C" w:rsidRDefault="0036765C" w:rsidP="003676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proofErr w:type="spellStart"/>
            <w:r w:rsidRPr="0036765C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Hotărîrea</w:t>
            </w:r>
            <w:proofErr w:type="spellEnd"/>
            <w:r w:rsidRPr="0036765C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Guvernului nr.1265/2008 cu privire la reglementarea activității Ministerului Finanțelor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;</w:t>
            </w:r>
          </w:p>
          <w:p w:rsidR="0054227F" w:rsidRDefault="0054227F" w:rsidP="005422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Hotărîrea</w:t>
            </w:r>
            <w:proofErr w:type="spellEnd"/>
            <w:r w:rsidRPr="0054227F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Guvernului nr.446/2009 pentru aprobarea Regulamentului privind expertizarea metalelor </w:t>
            </w:r>
            <w:proofErr w:type="spellStart"/>
            <w:r w:rsidRPr="0054227F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preţioase</w:t>
            </w:r>
            <w:proofErr w:type="spellEnd"/>
            <w:r w:rsidRPr="0054227F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, pietrelor </w:t>
            </w:r>
            <w:proofErr w:type="spellStart"/>
            <w:r w:rsidRPr="0054227F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preţioase</w:t>
            </w:r>
            <w:proofErr w:type="spellEnd"/>
            <w:r w:rsidRPr="0054227F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</w:t>
            </w:r>
            <w:proofErr w:type="spellStart"/>
            <w:r w:rsidRPr="0054227F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şi</w:t>
            </w:r>
            <w:proofErr w:type="spellEnd"/>
            <w:r w:rsidRPr="0054227F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a articolelor din ele</w:t>
            </w:r>
            <w:r w:rsidR="0036765C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  <w:p w:rsidR="0054227F" w:rsidRPr="00755A0A" w:rsidRDefault="0054227F" w:rsidP="0036765C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</w:tr>
      <w:tr w:rsidR="00191036" w:rsidTr="00344CFA">
        <w:trPr>
          <w:trHeight w:val="1"/>
        </w:trPr>
        <w:tc>
          <w:tcPr>
            <w:tcW w:w="9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91036" w:rsidRPr="00344CFA" w:rsidRDefault="00344CFA" w:rsidP="00344CFA">
            <w:pPr>
              <w:tabs>
                <w:tab w:val="left" w:pos="884"/>
                <w:tab w:val="left" w:pos="1196"/>
              </w:tabs>
              <w:jc w:val="both"/>
              <w:rPr>
                <w:sz w:val="26"/>
                <w:szCs w:val="26"/>
                <w:lang w:val="ro-RO"/>
              </w:rPr>
            </w:pPr>
            <w:r w:rsidRPr="00344CFA">
              <w:rPr>
                <w:b/>
                <w:sz w:val="26"/>
                <w:szCs w:val="26"/>
              </w:rPr>
              <w:t xml:space="preserve">6. Avizarea </w:t>
            </w:r>
            <w:proofErr w:type="spellStart"/>
            <w:r w:rsidRPr="00344CFA">
              <w:rPr>
                <w:b/>
                <w:sz w:val="26"/>
                <w:szCs w:val="26"/>
              </w:rPr>
              <w:t>şi</w:t>
            </w:r>
            <w:proofErr w:type="spellEnd"/>
            <w:r w:rsidRPr="00344CFA">
              <w:rPr>
                <w:b/>
                <w:sz w:val="26"/>
                <w:szCs w:val="26"/>
              </w:rPr>
              <w:t xml:space="preserve"> consultarea publică a proiectului</w:t>
            </w:r>
          </w:p>
        </w:tc>
      </w:tr>
      <w:tr w:rsidR="00344CFA" w:rsidTr="003769C0">
        <w:trPr>
          <w:trHeight w:val="1"/>
        </w:trPr>
        <w:tc>
          <w:tcPr>
            <w:tcW w:w="9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CFA" w:rsidRDefault="00344CFA" w:rsidP="00C419B1">
            <w:pPr>
              <w:ind w:firstLine="602"/>
              <w:jc w:val="both"/>
              <w:rPr>
                <w:b/>
                <w:iCs/>
                <w:sz w:val="26"/>
                <w:szCs w:val="26"/>
                <w:lang w:val="ro-RO"/>
              </w:rPr>
            </w:pPr>
            <w:r w:rsidRPr="003A0BF3">
              <w:rPr>
                <w:sz w:val="26"/>
                <w:szCs w:val="26"/>
                <w:lang w:val="ro-RO"/>
              </w:rPr>
              <w:t xml:space="preserve">În scopul respectării prevederilor Legii nr. 239-XVI din 13 noiembrie 2008 privind </w:t>
            </w:r>
            <w:r w:rsidR="00755A0A" w:rsidRPr="003A0BF3">
              <w:rPr>
                <w:sz w:val="26"/>
                <w:szCs w:val="26"/>
                <w:lang w:val="ro-RO"/>
              </w:rPr>
              <w:t>transparența</w:t>
            </w:r>
            <w:r w:rsidRPr="003A0BF3">
              <w:rPr>
                <w:sz w:val="26"/>
                <w:szCs w:val="26"/>
                <w:lang w:val="ro-RO"/>
              </w:rPr>
              <w:t xml:space="preserve"> în procesul decizional,</w:t>
            </w:r>
            <w:r w:rsidR="0006550E" w:rsidRPr="003A0BF3">
              <w:rPr>
                <w:sz w:val="26"/>
                <w:szCs w:val="26"/>
                <w:lang w:val="ro-RO"/>
              </w:rPr>
              <w:t xml:space="preserve"> pe pagina oficială a Ministerului Finanțelor, directoriul ,,</w:t>
            </w:r>
            <w:r w:rsidR="00755A0A" w:rsidRPr="003A0BF3">
              <w:rPr>
                <w:sz w:val="26"/>
                <w:szCs w:val="26"/>
                <w:lang w:val="ro-RO"/>
              </w:rPr>
              <w:t>Transparența</w:t>
            </w:r>
            <w:r w:rsidR="0006550E" w:rsidRPr="003A0BF3">
              <w:rPr>
                <w:sz w:val="26"/>
                <w:szCs w:val="26"/>
                <w:lang w:val="ro-RO"/>
              </w:rPr>
              <w:t xml:space="preserve"> decizională/ Procesul decizional”</w:t>
            </w:r>
            <w:r w:rsidRPr="003A0BF3">
              <w:rPr>
                <w:sz w:val="26"/>
                <w:szCs w:val="26"/>
                <w:lang w:val="ro-RO"/>
              </w:rPr>
              <w:t xml:space="preserve"> </w:t>
            </w:r>
            <w:r w:rsidR="0006550E">
              <w:rPr>
                <w:sz w:val="26"/>
                <w:szCs w:val="26"/>
                <w:lang w:val="ro-RO"/>
              </w:rPr>
              <w:t xml:space="preserve">a fost plasat </w:t>
            </w:r>
            <w:r w:rsidR="00755A0A" w:rsidRPr="003A0BF3">
              <w:rPr>
                <w:sz w:val="26"/>
                <w:szCs w:val="26"/>
                <w:lang w:val="ro-RO"/>
              </w:rPr>
              <w:t>anunțul</w:t>
            </w:r>
            <w:r w:rsidRPr="003A0BF3">
              <w:rPr>
                <w:sz w:val="26"/>
                <w:szCs w:val="26"/>
                <w:lang w:val="ro-RO"/>
              </w:rPr>
              <w:t xml:space="preserve"> privind inițierea procesului de elaborare</w:t>
            </w:r>
            <w:r w:rsidR="00C419B1">
              <w:rPr>
                <w:sz w:val="26"/>
                <w:szCs w:val="26"/>
                <w:lang w:val="ro-RO"/>
              </w:rPr>
              <w:t xml:space="preserve"> a proiectului</w:t>
            </w:r>
            <w:r w:rsidRPr="003A0BF3">
              <w:rPr>
                <w:sz w:val="26"/>
                <w:szCs w:val="26"/>
                <w:lang w:val="ro-RO"/>
              </w:rPr>
              <w:t>, precum și</w:t>
            </w:r>
            <w:r w:rsidR="0006550E">
              <w:rPr>
                <w:sz w:val="26"/>
                <w:szCs w:val="26"/>
                <w:lang w:val="ro-RO"/>
              </w:rPr>
              <w:t xml:space="preserve"> urmează a fi plasat</w:t>
            </w:r>
            <w:r w:rsidRPr="003A0BF3">
              <w:rPr>
                <w:sz w:val="26"/>
                <w:szCs w:val="26"/>
                <w:lang w:val="ro-RO"/>
              </w:rPr>
              <w:t xml:space="preserve"> anunțul privind organizarea consultărilor publice pe marginea </w:t>
            </w:r>
            <w:r w:rsidR="00C419B1">
              <w:rPr>
                <w:sz w:val="26"/>
                <w:szCs w:val="26"/>
                <w:lang w:val="ro-RO"/>
              </w:rPr>
              <w:t>acestuia</w:t>
            </w:r>
            <w:r w:rsidRPr="003A0BF3">
              <w:rPr>
                <w:sz w:val="26"/>
                <w:szCs w:val="26"/>
                <w:lang w:val="ro-RO"/>
              </w:rPr>
              <w:t>.</w:t>
            </w:r>
          </w:p>
        </w:tc>
      </w:tr>
    </w:tbl>
    <w:p w:rsidR="00F4656B" w:rsidRPr="00F4656B" w:rsidRDefault="00F4656B" w:rsidP="00D049B5">
      <w:pPr>
        <w:rPr>
          <w:i/>
        </w:rPr>
      </w:pPr>
    </w:p>
    <w:p w:rsidR="002E0B81" w:rsidRPr="003A0BF3" w:rsidRDefault="002E0B81" w:rsidP="002E0B81">
      <w:pPr>
        <w:rPr>
          <w:b/>
          <w:sz w:val="16"/>
          <w:szCs w:val="16"/>
          <w:lang w:val="ro-RO"/>
        </w:rPr>
      </w:pPr>
    </w:p>
    <w:p w:rsidR="002E0B81" w:rsidRPr="003A0BF3" w:rsidRDefault="009C5C48" w:rsidP="002E0B81">
      <w:pPr>
        <w:jc w:val="center"/>
        <w:rPr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MINISTRU                                                           Octavian ARMAȘU</w:t>
      </w:r>
    </w:p>
    <w:p w:rsidR="002E0B81" w:rsidRPr="003A0BF3" w:rsidRDefault="002E0B81" w:rsidP="002E0B81">
      <w:pPr>
        <w:rPr>
          <w:sz w:val="16"/>
          <w:szCs w:val="16"/>
          <w:lang w:val="ro-RO"/>
        </w:rPr>
      </w:pPr>
    </w:p>
    <w:p w:rsidR="00B319D1" w:rsidRPr="003A0BF3" w:rsidRDefault="00B319D1">
      <w:pPr>
        <w:rPr>
          <w:lang w:val="ro-RO"/>
        </w:rPr>
      </w:pPr>
    </w:p>
    <w:p w:rsidR="0005214C" w:rsidRPr="003A0BF3" w:rsidRDefault="0005214C">
      <w:pPr>
        <w:rPr>
          <w:lang w:val="ro-RO"/>
        </w:rPr>
      </w:pPr>
    </w:p>
    <w:sectPr w:rsidR="0005214C" w:rsidRPr="003A0BF3" w:rsidSect="00D049B5">
      <w:pgSz w:w="11906" w:h="16838"/>
      <w:pgMar w:top="1134" w:right="424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019E"/>
    <w:multiLevelType w:val="hybridMultilevel"/>
    <w:tmpl w:val="4E4E6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D5DD9"/>
    <w:multiLevelType w:val="hybridMultilevel"/>
    <w:tmpl w:val="13921A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81"/>
    <w:rsid w:val="0005214C"/>
    <w:rsid w:val="00063E32"/>
    <w:rsid w:val="0006550E"/>
    <w:rsid w:val="000E269E"/>
    <w:rsid w:val="00191036"/>
    <w:rsid w:val="002D319A"/>
    <w:rsid w:val="002E0B81"/>
    <w:rsid w:val="002F353E"/>
    <w:rsid w:val="00344CFA"/>
    <w:rsid w:val="0036765C"/>
    <w:rsid w:val="003769C0"/>
    <w:rsid w:val="003A0BF3"/>
    <w:rsid w:val="00424DF3"/>
    <w:rsid w:val="004A382F"/>
    <w:rsid w:val="004A5EBA"/>
    <w:rsid w:val="004E209B"/>
    <w:rsid w:val="00501CF1"/>
    <w:rsid w:val="0054227F"/>
    <w:rsid w:val="005C12B7"/>
    <w:rsid w:val="006667DF"/>
    <w:rsid w:val="00755A0A"/>
    <w:rsid w:val="007D225A"/>
    <w:rsid w:val="00806954"/>
    <w:rsid w:val="00854AFD"/>
    <w:rsid w:val="008B201B"/>
    <w:rsid w:val="008E0C62"/>
    <w:rsid w:val="009C5C48"/>
    <w:rsid w:val="00B25AEA"/>
    <w:rsid w:val="00B319D1"/>
    <w:rsid w:val="00B741B2"/>
    <w:rsid w:val="00C419B1"/>
    <w:rsid w:val="00C50042"/>
    <w:rsid w:val="00D049B5"/>
    <w:rsid w:val="00D56EC7"/>
    <w:rsid w:val="00D96D3B"/>
    <w:rsid w:val="00E846A3"/>
    <w:rsid w:val="00F4656B"/>
    <w:rsid w:val="00FC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FF52"/>
  <w15:chartTrackingRefBased/>
  <w15:docId w15:val="{8A673D22-B246-4FCA-B993-B5D09E49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MD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6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6A3"/>
    <w:rPr>
      <w:rFonts w:ascii="Segoe UI" w:eastAsia="Times New Roman" w:hAnsi="Segoe UI" w:cs="Segoe UI"/>
      <w:sz w:val="18"/>
      <w:szCs w:val="18"/>
      <w:lang w:val="ro-MD" w:eastAsia="ru-RU"/>
    </w:rPr>
  </w:style>
  <w:style w:type="paragraph" w:customStyle="1" w:styleId="tt">
    <w:name w:val="tt"/>
    <w:basedOn w:val="Normal"/>
    <w:rsid w:val="00806954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8E0C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cb">
    <w:name w:val="cb"/>
    <w:basedOn w:val="Normal"/>
    <w:rsid w:val="0005214C"/>
    <w:pPr>
      <w:jc w:val="center"/>
    </w:pPr>
    <w:rPr>
      <w:b/>
      <w:bCs/>
      <w:lang w:val="en-US" w:eastAsia="en-US"/>
    </w:rPr>
  </w:style>
  <w:style w:type="character" w:customStyle="1" w:styleId="NormalWebChar">
    <w:name w:val="Normal (Web) Char"/>
    <w:link w:val="NormalWeb"/>
    <w:uiPriority w:val="99"/>
    <w:semiHidden/>
    <w:locked/>
    <w:rsid w:val="00F4656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F4656B"/>
    <w:pPr>
      <w:ind w:firstLine="567"/>
      <w:jc w:val="both"/>
    </w:pPr>
    <w:rPr>
      <w:lang w:val="en-GB" w:eastAsia="en-US"/>
    </w:rPr>
  </w:style>
  <w:style w:type="paragraph" w:styleId="NoSpacing">
    <w:name w:val="No Spacing"/>
    <w:uiPriority w:val="99"/>
    <w:qFormat/>
    <w:rsid w:val="00F4656B"/>
    <w:pPr>
      <w:spacing w:after="0" w:line="240" w:lineRule="auto"/>
    </w:pPr>
    <w:rPr>
      <w:rFonts w:ascii="Calibri" w:eastAsia="SimSun" w:hAnsi="Calibri" w:cs="Times New Roman"/>
      <w:lang w:val="ru-RU" w:eastAsia="ru-RU"/>
    </w:rPr>
  </w:style>
  <w:style w:type="paragraph" w:customStyle="1" w:styleId="cn">
    <w:name w:val="cn"/>
    <w:basedOn w:val="Normal"/>
    <w:uiPriority w:val="99"/>
    <w:rsid w:val="00F4656B"/>
    <w:pPr>
      <w:jc w:val="center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Litocenco</dc:creator>
  <cp:keywords/>
  <dc:description/>
  <cp:lastModifiedBy>Ana Litocenco</cp:lastModifiedBy>
  <cp:revision>7</cp:revision>
  <cp:lastPrinted>2018-11-19T10:01:00Z</cp:lastPrinted>
  <dcterms:created xsi:type="dcterms:W3CDTF">2018-11-15T13:31:00Z</dcterms:created>
  <dcterms:modified xsi:type="dcterms:W3CDTF">2018-11-19T10:01:00Z</dcterms:modified>
</cp:coreProperties>
</file>