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2" w:rsidRPr="00886775" w:rsidRDefault="00925C72" w:rsidP="00551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B4" w:rsidRPr="00886775" w:rsidRDefault="005513B4" w:rsidP="00221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>NOTĂ INFORMATIVĂ</w:t>
      </w:r>
    </w:p>
    <w:p w:rsidR="00251585" w:rsidRPr="00886775" w:rsidRDefault="00251585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886775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886775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CA1CB1" w:rsidRPr="00886775" w:rsidRDefault="00CA1CB1" w:rsidP="00221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B1" w:rsidRPr="00886775" w:rsidRDefault="00CA1CB1" w:rsidP="0022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75">
        <w:rPr>
          <w:rFonts w:ascii="Times New Roman" w:hAnsi="Times New Roman" w:cs="Times New Roman"/>
          <w:b/>
          <w:sz w:val="28"/>
          <w:szCs w:val="28"/>
        </w:rPr>
        <w:t>„Cu privire la alocarea mijloacelor financiare”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numPr>
                <w:ilvl w:val="3"/>
                <w:numId w:val="1"/>
              </w:numPr>
              <w:tabs>
                <w:tab w:val="clear" w:pos="2880"/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Denumirea autorului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după caz, 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participanţilor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elaborarea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CA1CB1" w:rsidRPr="00886775" w:rsidRDefault="005513B4" w:rsidP="00221F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hotărârii Guvernului </w:t>
            </w:r>
            <w:r w:rsidR="00CA1CB1" w:rsidRPr="00886775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</w:p>
          <w:p w:rsidR="005513B4" w:rsidRPr="00886775" w:rsidRDefault="006637EC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(în continuare – proiect)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este elaborat de Ministerul Finanțelor.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Condiţiile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 au impus elaborarea proiectului de act normativ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finalităţile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urmărite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prenotat este elaborat în contextul</w:t>
            </w:r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acordării unui sprijin din partea statului unor categorii de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populaţie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în vederea asigurării cu </w:t>
            </w:r>
            <w:proofErr w:type="spellStart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>spaţiu</w:t>
            </w:r>
            <w:proofErr w:type="spellEnd"/>
            <w:r w:rsidR="00001D97" w:rsidRPr="00886775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locativ.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Descrierea gradului de compatibilitate pentru proiectele care au ca scop armonizarea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legislaţiei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naţionale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cu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legislaţia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Uniunii Europene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Prezentul proiect de hotărâre nu contravine legislației UE. </w:t>
            </w:r>
          </w:p>
          <w:p w:rsidR="005513B4" w:rsidRPr="00886775" w:rsidRDefault="005513B4" w:rsidP="00221F61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Principalele prevederi ale proiectului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evidenţierea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elementelor noi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221F61" w:rsidP="00221F6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dat este elaborat în baza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 din 13 septembrie 2010 ”Cu privire la acordarea indemnizațiilor unice pentru construcția sau procurarea spațiului locativ, sau restaurarea caselor ve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>chi unor categorii de cetățeni”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Potrivit punctului 1 al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Hotărîrii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Guvernului nr.836/2010 se acordă indemnizații unice pentru construcția unei case individuale ori a unei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locuinţe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cooperatiste, sau procurarea spațiului locativ, sau restaurarea caselor vechi unor categorii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cetăţeni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care, nu au beneficiat de credite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preferenţiale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de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instituţiile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financiare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nu au fost asigurați cu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spaţiu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locativ la situația din 22 octombrie 2004.</w:t>
            </w:r>
          </w:p>
          <w:p w:rsidR="005513B4" w:rsidRPr="00886775" w:rsidRDefault="00221F61" w:rsidP="00FB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Proiectul în cauză prevede  alocarea mijloacelor financiare de la bugetul de stat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autorităţilor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administraţiei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publice locale de nivelul al doilea în sumă totală de </w:t>
            </w:r>
            <w:r w:rsidR="00FB7CF0"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mii lei, întru acordarea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indemnizaţiilor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unice pentru </w:t>
            </w:r>
            <w:r w:rsidR="00FB7C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beneficiari din </w:t>
            </w:r>
            <w:r w:rsidR="00FB7C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CF0">
              <w:rPr>
                <w:rFonts w:ascii="Times New Roman" w:hAnsi="Times New Roman" w:cs="Times New Roman"/>
                <w:sz w:val="28"/>
                <w:szCs w:val="28"/>
              </w:rPr>
              <w:t>raioane (7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r w:rsidR="00601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pentru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apărarea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integrității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teritoriale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1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ndep</w:t>
            </w:r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endenței</w:t>
            </w:r>
            <w:proofErr w:type="spellEnd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Republicii</w:t>
            </w:r>
            <w:proofErr w:type="spellEnd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Moldova </w:t>
            </w:r>
            <w:proofErr w:type="spellStart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participanț</w:t>
            </w:r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acțiunile</w:t>
            </w:r>
            <w:proofErr w:type="spellEnd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luptă</w:t>
            </w:r>
            <w:proofErr w:type="spellEnd"/>
            <w:r w:rsidR="00FB7CF0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din </w:t>
            </w:r>
            <w:proofErr w:type="spellStart"/>
            <w:r w:rsidR="00FB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Afganistan</w:t>
            </w:r>
            <w:proofErr w:type="spellEnd"/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Fundamentarea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economico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-financiară</w:t>
            </w:r>
          </w:p>
        </w:tc>
      </w:tr>
      <w:tr w:rsidR="005513B4" w:rsidRPr="00886775" w:rsidTr="003E4509">
        <w:tc>
          <w:tcPr>
            <w:tcW w:w="5000" w:type="pct"/>
          </w:tcPr>
          <w:p w:rsidR="00E7119B" w:rsidRPr="00886775" w:rsidRDefault="00344013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>Implement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area prevederilor proiectului </w:t>
            </w:r>
            <w:r w:rsidR="005513B4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necesită cheltuieli financiare </w:t>
            </w:r>
            <w:r w:rsidR="00034D63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din bugetul de stat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în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sumă</w:t>
            </w:r>
            <w:proofErr w:type="spellEnd"/>
            <w:r w:rsidR="00034D63" w:rsidRPr="00886775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de </w:t>
            </w:r>
            <w:r w:rsidR="00FB7CF0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410</w:t>
            </w:r>
            <w:r w:rsidR="00E7119B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>,0</w:t>
            </w:r>
            <w:r w:rsidR="00190CF4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mii</w:t>
            </w:r>
            <w:r w:rsidR="00034D63" w:rsidRPr="00886775">
              <w:rPr>
                <w:rFonts w:ascii="Times New Roman" w:hAnsi="Times New Roman" w:cs="Times New Roman"/>
                <w:b/>
                <w:sz w:val="28"/>
                <w:szCs w:val="28"/>
                <w:lang w:val="en-GB" w:eastAsia="en-GB"/>
              </w:rPr>
              <w:t xml:space="preserve"> lei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B4" w:rsidRPr="00886775" w:rsidRDefault="00221F61" w:rsidP="00FB7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>În bugetul de stat pent</w:t>
            </w:r>
            <w:r w:rsidR="00FB7CF0">
              <w:rPr>
                <w:rFonts w:ascii="Times New Roman" w:hAnsi="Times New Roman" w:cs="Times New Roman"/>
                <w:sz w:val="28"/>
                <w:szCs w:val="28"/>
              </w:rPr>
              <w:t>ru anul 2021</w:t>
            </w:r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în acest scop </w:t>
            </w:r>
            <w:proofErr w:type="spellStart"/>
            <w:r w:rsidR="00445E8B">
              <w:rPr>
                <w:rFonts w:ascii="Times New Roman" w:hAnsi="Times New Roman" w:cs="Times New Roman"/>
                <w:sz w:val="28"/>
                <w:szCs w:val="28"/>
              </w:rPr>
              <w:t>sînt</w:t>
            </w:r>
            <w:proofErr w:type="spellEnd"/>
            <w:r w:rsidR="0044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CF0">
              <w:rPr>
                <w:rFonts w:ascii="Times New Roman" w:hAnsi="Times New Roman" w:cs="Times New Roman"/>
                <w:sz w:val="28"/>
                <w:szCs w:val="28"/>
              </w:rPr>
              <w:t>aprobate</w:t>
            </w:r>
            <w:r w:rsidR="00E7119B" w:rsidRPr="00886775">
              <w:rPr>
                <w:rFonts w:ascii="Times New Roman" w:hAnsi="Times New Roman" w:cs="Times New Roman"/>
                <w:sz w:val="28"/>
                <w:szCs w:val="28"/>
              </w:rPr>
              <w:t xml:space="preserve"> mijloace </w:t>
            </w:r>
            <w:r w:rsidR="00E7119B" w:rsidRPr="007F2B03">
              <w:rPr>
                <w:rFonts w:ascii="Times New Roman" w:hAnsi="Times New Roman" w:cs="Times New Roman"/>
                <w:sz w:val="28"/>
                <w:szCs w:val="28"/>
              </w:rPr>
              <w:t xml:space="preserve">financiare în volum de </w:t>
            </w:r>
            <w:r w:rsidR="00FB7CF0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  <w:r w:rsidR="00FB7CF0">
              <w:rPr>
                <w:rFonts w:ascii="Times New Roman" w:hAnsi="Times New Roman" w:cs="Times New Roman"/>
                <w:sz w:val="28"/>
                <w:szCs w:val="28"/>
              </w:rPr>
              <w:t xml:space="preserve"> mii lei.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Modul de încorporare a actului în cadrul normativ în vigoare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Aprobarea proiectului </w:t>
            </w:r>
            <w:r w:rsidRPr="00221F61">
              <w:rPr>
                <w:rFonts w:ascii="Times New Roman" w:hAnsi="Times New Roman" w:cs="Times New Roman"/>
                <w:sz w:val="28"/>
                <w:szCs w:val="28"/>
              </w:rPr>
              <w:t xml:space="preserve">hotărârii Guvernului </w:t>
            </w:r>
            <w:r w:rsidR="00E7119B" w:rsidRPr="00221F61">
              <w:rPr>
                <w:rFonts w:ascii="Times New Roman" w:hAnsi="Times New Roman" w:cs="Times New Roman"/>
                <w:sz w:val="28"/>
                <w:szCs w:val="28"/>
              </w:rPr>
              <w:t>„Cu privire la alocarea mijloacelor financiare”</w:t>
            </w:r>
            <w:r w:rsidRPr="00221F6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nu va </w:t>
            </w:r>
            <w:r w:rsidRPr="00221F61">
              <w:rPr>
                <w:rFonts w:ascii="Times New Roman" w:eastAsia="Times New Roman" w:hAnsi="Times New Roman" w:cs="Times New Roman"/>
                <w:sz w:val="28"/>
                <w:szCs w:val="28"/>
                <w:lang w:val="ro-MD" w:eastAsia="zh-TW" w:bidi="en-US"/>
              </w:rPr>
              <w:t>genera modificări și în textul altor acte normative.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Avizarea </w:t>
            </w:r>
            <w:proofErr w:type="spellStart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8867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consultarea publică a proiectului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  </w:t>
            </w:r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scopul respectării prevederilor Legii nr. 239/2008 privind transparența în procesul decizional, p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roiectul </w:t>
            </w:r>
            <w:proofErr w:type="spellStart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Hotărîrii</w:t>
            </w:r>
            <w:proofErr w:type="spellEnd"/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Guvernului a fost plasat pe pagina web oficială a Ministerului Finanțelor </w:t>
            </w:r>
            <w:hyperlink r:id="rId5" w:history="1">
              <w:r w:rsidR="00691C13" w:rsidRPr="0088677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o-MD"/>
                </w:rPr>
                <w:t>www.mf.gov.md</w:t>
              </w:r>
            </w:hyperlink>
            <w:r w:rsidR="00691C13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compartimentul Transparența decizională, </w:t>
            </w:r>
            <w:r w:rsidR="00536F20"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Procesul decizional.</w:t>
            </w:r>
          </w:p>
          <w:p w:rsidR="005513B4" w:rsidRPr="00886775" w:rsidRDefault="005513B4" w:rsidP="00221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 Constatările expertizei anticorupție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 </w:t>
            </w:r>
            <w:r w:rsidR="00436E44"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anticorupție de către Centrul Național Anticorupție în conformitate cu art. 35 din Legea nr. 100/ 2017 cu privire la actele normative.</w:t>
            </w:r>
            <w:r w:rsidRPr="0088677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 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6E690F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9</w:t>
            </w:r>
            <w:r w:rsidR="005513B4" w:rsidRPr="0088677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. Constatările expertizei juridice</w:t>
            </w:r>
          </w:p>
        </w:tc>
      </w:tr>
      <w:tr w:rsidR="005513B4" w:rsidRPr="00886775" w:rsidTr="003E4509">
        <w:tc>
          <w:tcPr>
            <w:tcW w:w="5000" w:type="pct"/>
          </w:tcPr>
          <w:p w:rsidR="005513B4" w:rsidRPr="00886775" w:rsidRDefault="005513B4" w:rsidP="00221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</w:pPr>
            <w:r w:rsidRPr="008867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it-IT"/>
              </w:rPr>
              <w:t xml:space="preserve">     Proiectul va fi supus expertizei juridice de către Ministerul Justiției în conformitate cu art. 37 din Legea nr. 100/ 2017 cu privire la actele normative.</w:t>
            </w:r>
          </w:p>
          <w:p w:rsidR="005513B4" w:rsidRPr="00886775" w:rsidRDefault="005513B4" w:rsidP="00221F6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5513B4" w:rsidRPr="00886775" w:rsidRDefault="005513B4" w:rsidP="00221F61">
      <w:pPr>
        <w:tabs>
          <w:tab w:val="left" w:pos="884"/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  <w:lang w:val="ro-MD"/>
        </w:rPr>
      </w:pPr>
    </w:p>
    <w:p w:rsidR="00D94539" w:rsidRPr="00886775" w:rsidRDefault="00D94539" w:rsidP="005513B4">
      <w:pPr>
        <w:rPr>
          <w:rFonts w:ascii="Times New Roman" w:hAnsi="Times New Roman" w:cs="Times New Roman"/>
          <w:sz w:val="28"/>
          <w:szCs w:val="28"/>
        </w:rPr>
      </w:pPr>
    </w:p>
    <w:p w:rsidR="00D94539" w:rsidRPr="00886775" w:rsidRDefault="00536F20" w:rsidP="00FB7C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  <w:r w:rsidRPr="0088677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p w:rsidR="00FB7CF0" w:rsidRPr="00FB7CF0" w:rsidRDefault="00FB7CF0" w:rsidP="00FB7CF0">
      <w:pPr>
        <w:rPr>
          <w:rFonts w:ascii="Times New Roman" w:hAnsi="Times New Roman" w:cs="Times New Roman"/>
          <w:b/>
          <w:sz w:val="28"/>
          <w:szCs w:val="28"/>
        </w:rPr>
      </w:pPr>
      <w:r w:rsidRPr="00FB7C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</w:t>
      </w:r>
      <w:r w:rsidRPr="00FB7C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FB7CF0">
        <w:rPr>
          <w:rFonts w:ascii="Times New Roman" w:hAnsi="Times New Roman" w:cs="Times New Roman"/>
          <w:b/>
          <w:sz w:val="28"/>
          <w:szCs w:val="28"/>
          <w:lang w:val="en-GB"/>
        </w:rPr>
        <w:t>Secretar</w:t>
      </w:r>
      <w:proofErr w:type="spellEnd"/>
      <w:r w:rsidRPr="00FB7C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 Stat   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      </w:t>
      </w:r>
      <w:r w:rsidRPr="00FB7C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Tatiana IVANICICHINA</w:t>
      </w:r>
    </w:p>
    <w:p w:rsidR="00D94539" w:rsidRPr="00D94539" w:rsidRDefault="00D94539" w:rsidP="00D9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536F20" w:rsidRPr="00D94539" w:rsidRDefault="00536F20" w:rsidP="00536F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</w:p>
    <w:sectPr w:rsidR="00536F20" w:rsidRPr="00D94539" w:rsidSect="003C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001D97"/>
    <w:rsid w:val="00034D63"/>
    <w:rsid w:val="00190CF4"/>
    <w:rsid w:val="00221F61"/>
    <w:rsid w:val="00251585"/>
    <w:rsid w:val="00344013"/>
    <w:rsid w:val="00436E44"/>
    <w:rsid w:val="00445E8B"/>
    <w:rsid w:val="004A1380"/>
    <w:rsid w:val="00525033"/>
    <w:rsid w:val="00532D3C"/>
    <w:rsid w:val="00536F20"/>
    <w:rsid w:val="005513B4"/>
    <w:rsid w:val="00562119"/>
    <w:rsid w:val="005B0A0F"/>
    <w:rsid w:val="0060162B"/>
    <w:rsid w:val="00603FBD"/>
    <w:rsid w:val="006637EC"/>
    <w:rsid w:val="006654C5"/>
    <w:rsid w:val="00691C13"/>
    <w:rsid w:val="006C4EE5"/>
    <w:rsid w:val="006E690F"/>
    <w:rsid w:val="006F6F00"/>
    <w:rsid w:val="007051A9"/>
    <w:rsid w:val="007F2B03"/>
    <w:rsid w:val="007F396D"/>
    <w:rsid w:val="00816911"/>
    <w:rsid w:val="008273F6"/>
    <w:rsid w:val="008662AD"/>
    <w:rsid w:val="0088651A"/>
    <w:rsid w:val="00886775"/>
    <w:rsid w:val="008A669D"/>
    <w:rsid w:val="00925C72"/>
    <w:rsid w:val="009928FF"/>
    <w:rsid w:val="00A16455"/>
    <w:rsid w:val="00B659E5"/>
    <w:rsid w:val="00B8433F"/>
    <w:rsid w:val="00C21F82"/>
    <w:rsid w:val="00C612EE"/>
    <w:rsid w:val="00CA1CB1"/>
    <w:rsid w:val="00D5131D"/>
    <w:rsid w:val="00D94539"/>
    <w:rsid w:val="00E7119B"/>
    <w:rsid w:val="00EA44DB"/>
    <w:rsid w:val="00ED4FFD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7F53"/>
  <w15:chartTrackingRefBased/>
  <w15:docId w15:val="{1273BE6D-34F9-42D6-BCF2-32BA27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B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5513B4"/>
  </w:style>
  <w:style w:type="paragraph" w:styleId="a3">
    <w:name w:val="No Spacing"/>
    <w:uiPriority w:val="1"/>
    <w:qFormat/>
    <w:rsid w:val="005513B4"/>
    <w:pPr>
      <w:spacing w:after="0" w:line="240" w:lineRule="auto"/>
    </w:pPr>
    <w:rPr>
      <w:rFonts w:eastAsiaTheme="minorEastAsia"/>
      <w:lang w:eastAsia="ro-RO"/>
    </w:rPr>
  </w:style>
  <w:style w:type="paragraph" w:styleId="a4">
    <w:name w:val="Normal (Web)"/>
    <w:basedOn w:val="a"/>
    <w:uiPriority w:val="99"/>
    <w:unhideWhenUsed/>
    <w:rsid w:val="005513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691C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FFD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Sluhinscaia Rodica</dc:creator>
  <cp:keywords/>
  <dc:description/>
  <cp:lastModifiedBy>Sluhinscaia Rodica</cp:lastModifiedBy>
  <cp:revision>48</cp:revision>
  <cp:lastPrinted>2019-11-18T12:32:00Z</cp:lastPrinted>
  <dcterms:created xsi:type="dcterms:W3CDTF">2018-08-23T06:18:00Z</dcterms:created>
  <dcterms:modified xsi:type="dcterms:W3CDTF">2021-02-22T09:57:00Z</dcterms:modified>
</cp:coreProperties>
</file>