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Default="005513B4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88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251585" w:rsidRDefault="00251585" w:rsidP="0025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8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25158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251585">
        <w:rPr>
          <w:rFonts w:ascii="Times New Roman" w:hAnsi="Times New Roman" w:cs="Times New Roman"/>
          <w:b/>
          <w:sz w:val="28"/>
          <w:szCs w:val="28"/>
        </w:rPr>
        <w:t xml:space="preserve"> Guvernului </w:t>
      </w:r>
    </w:p>
    <w:p w:rsidR="00816911" w:rsidRPr="00816911" w:rsidRDefault="00816911" w:rsidP="00251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911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Privind modificarea punctului 3 din </w:t>
      </w:r>
      <w:proofErr w:type="spellStart"/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Hotărîrea</w:t>
      </w:r>
      <w:proofErr w:type="spellEnd"/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Guvernului nr.836/2010 cu privire la acordarea indemnizațiilor unice pentru construcția sau procurarea spațiului locativ, sau restaurarea caselor vechi unor categorii de cetățeni”</w:t>
      </w:r>
    </w:p>
    <w:p w:rsidR="005513B4" w:rsidRPr="009361B9" w:rsidRDefault="005513B4" w:rsidP="005513B4">
      <w:pPr>
        <w:tabs>
          <w:tab w:val="left" w:pos="884"/>
          <w:tab w:val="left" w:pos="1196"/>
        </w:tabs>
        <w:spacing w:after="0" w:line="240" w:lineRule="auto"/>
        <w:ind w:firstLine="702"/>
        <w:jc w:val="both"/>
        <w:rPr>
          <w:rFonts w:ascii="Times New Roman" w:hAnsi="Times New Roman"/>
          <w:iCs/>
          <w:sz w:val="24"/>
          <w:szCs w:val="24"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participanţilor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55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”Cu privire la  modificarea punctului 3 din </w:t>
            </w:r>
            <w:proofErr w:type="spellStart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>Hotărîrea</w:t>
            </w:r>
            <w:proofErr w:type="spellEnd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cu privire la acordarea indemnizațiilor unice pentru construcția sau procurarea spațiului </w:t>
            </w:r>
            <w:proofErr w:type="spellStart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>locativ,sau</w:t>
            </w:r>
            <w:proofErr w:type="spellEnd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 restaurarea caselor vechi unor categorii de cetățeni</w:t>
            </w:r>
            <w:r w:rsidR="0066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20">
              <w:rPr>
                <w:bCs/>
                <w:color w:val="000000"/>
              </w:rPr>
              <w:t xml:space="preserve"> </w:t>
            </w:r>
            <w:r w:rsidRPr="00536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Condiţiile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finalităţile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001D97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536F2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536F2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536F2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536F2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536F2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legislaţiei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naţionale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legislaţia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536F20" w:rsidRDefault="005513B4" w:rsidP="003E4509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evidenţierea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536F20" w:rsidTr="003E4509">
        <w:tc>
          <w:tcPr>
            <w:tcW w:w="5000" w:type="pct"/>
          </w:tcPr>
          <w:p w:rsidR="00344013" w:rsidRPr="00536F20" w:rsidRDefault="00344013" w:rsidP="00344013">
            <w:pPr>
              <w:pStyle w:val="a4"/>
              <w:spacing w:line="276" w:lineRule="auto"/>
              <w:rPr>
                <w:b/>
                <w:i/>
                <w:sz w:val="28"/>
                <w:szCs w:val="28"/>
                <w:u w:val="single"/>
                <w:lang w:val="en-GB" w:eastAsia="en-GB"/>
              </w:rPr>
            </w:pPr>
            <w:r w:rsidRPr="00536F20">
              <w:rPr>
                <w:sz w:val="28"/>
                <w:szCs w:val="28"/>
                <w:lang w:val="ro-RO"/>
              </w:rPr>
              <w:t xml:space="preserve">Potrivit </w:t>
            </w:r>
            <w:r w:rsidRPr="00536F20">
              <w:rPr>
                <w:sz w:val="28"/>
                <w:szCs w:val="28"/>
                <w:lang w:val="ro-MD"/>
              </w:rPr>
              <w:t>punctului 3 al H</w:t>
            </w:r>
            <w:proofErr w:type="spellStart"/>
            <w:r w:rsidRPr="00536F20">
              <w:rPr>
                <w:sz w:val="28"/>
                <w:szCs w:val="28"/>
                <w:lang w:val="ro-RO"/>
              </w:rPr>
              <w:t>otărîrii</w:t>
            </w:r>
            <w:proofErr w:type="spellEnd"/>
            <w:r w:rsidRPr="00536F20">
              <w:rPr>
                <w:sz w:val="28"/>
                <w:szCs w:val="28"/>
                <w:lang w:val="ro-RO"/>
              </w:rPr>
              <w:t xml:space="preserve"> în cauză, a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cordarea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indemnizaţiilor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unice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pentru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persoanele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care nu au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beneficiat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credite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preferenţiale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de la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instituţiile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financiare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, nu au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fost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asigurate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cu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spaţiu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locativ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conform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normelor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legale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şi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nu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deţin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scrisori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garanţie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corespunzătoare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eliberate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autorităţile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administraţiei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publice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locale, se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eşalonează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o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perioadă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</w:t>
            </w:r>
            <w:r w:rsidR="00525033">
              <w:rPr>
                <w:sz w:val="28"/>
                <w:szCs w:val="28"/>
                <w:lang w:val="en-GB" w:eastAsia="en-GB"/>
              </w:rPr>
              <w:t xml:space="preserve">e </w:t>
            </w:r>
            <w:proofErr w:type="spellStart"/>
            <w:r w:rsidR="00525033">
              <w:rPr>
                <w:sz w:val="28"/>
                <w:szCs w:val="28"/>
                <w:lang w:val="en-GB" w:eastAsia="en-GB"/>
              </w:rPr>
              <w:t>pînă</w:t>
            </w:r>
            <w:proofErr w:type="spellEnd"/>
            <w:r w:rsidR="00525033">
              <w:rPr>
                <w:sz w:val="28"/>
                <w:szCs w:val="28"/>
                <w:lang w:val="en-GB" w:eastAsia="en-GB"/>
              </w:rPr>
              <w:t xml:space="preserve"> la 6</w:t>
            </w:r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ani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începînd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cu </w:t>
            </w:r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 xml:space="preserve">1 </w:t>
            </w:r>
            <w:proofErr w:type="spellStart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>ianuarie</w:t>
            </w:r>
            <w:proofErr w:type="spellEnd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 xml:space="preserve"> 2014 </w:t>
            </w:r>
            <w:proofErr w:type="spellStart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>pînă</w:t>
            </w:r>
            <w:proofErr w:type="spellEnd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 xml:space="preserve"> la 31 </w:t>
            </w:r>
            <w:proofErr w:type="spellStart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>decembrie</w:t>
            </w:r>
            <w:proofErr w:type="spellEnd"/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 xml:space="preserve"> 201</w:t>
            </w:r>
            <w:r w:rsidR="00525033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>9</w:t>
            </w:r>
            <w:r w:rsidRPr="00536F20">
              <w:rPr>
                <w:b/>
                <w:i/>
                <w:sz w:val="28"/>
                <w:szCs w:val="28"/>
                <w:u w:val="single"/>
                <w:lang w:val="en-GB" w:eastAsia="en-GB"/>
              </w:rPr>
              <w:t>.</w:t>
            </w:r>
          </w:p>
          <w:p w:rsidR="00344013" w:rsidRPr="00536F20" w:rsidRDefault="00344013" w:rsidP="00344013">
            <w:pPr>
              <w:pStyle w:val="a4"/>
              <w:spacing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536F20">
              <w:rPr>
                <w:rFonts w:eastAsia="Calibri"/>
                <w:sz w:val="28"/>
                <w:szCs w:val="28"/>
                <w:lang w:val="ro-RO"/>
              </w:rPr>
              <w:t xml:space="preserve">În scopul acordării unui sprijin din partea statului unor categorii de </w:t>
            </w:r>
            <w:proofErr w:type="spellStart"/>
            <w:r w:rsidRPr="00536F20">
              <w:rPr>
                <w:rFonts w:eastAsia="Calibri"/>
                <w:sz w:val="28"/>
                <w:szCs w:val="28"/>
                <w:lang w:val="ro-RO"/>
              </w:rPr>
              <w:t>populaţie</w:t>
            </w:r>
            <w:proofErr w:type="spellEnd"/>
            <w:r w:rsidRPr="00536F20">
              <w:rPr>
                <w:rFonts w:eastAsia="Calibri"/>
                <w:sz w:val="28"/>
                <w:szCs w:val="28"/>
                <w:lang w:val="ro-RO"/>
              </w:rPr>
              <w:t xml:space="preserve"> în vederea </w:t>
            </w:r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acordării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dreptului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la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indemnizații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unice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r w:rsidR="00C21F82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unor</w:t>
            </w:r>
            <w:proofErr w:type="spellEnd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>categorii</w:t>
            </w:r>
            <w:proofErr w:type="spellEnd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>cetățeni</w:t>
            </w:r>
            <w:proofErr w:type="spellEnd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, care nu </w:t>
            </w:r>
            <w:proofErr w:type="spellStart"/>
            <w:r w:rsidR="00C21F82" w:rsidRPr="00C21F82">
              <w:rPr>
                <w:rFonts w:eastAsiaTheme="minorHAnsi"/>
                <w:sz w:val="28"/>
                <w:szCs w:val="28"/>
                <w:lang w:val="en-GB" w:eastAsia="en-GB"/>
              </w:rPr>
              <w:t>ș</w:t>
            </w:r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i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-au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realizat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dreptul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în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cauză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(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în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baza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>demersurilor</w:t>
            </w:r>
            <w:proofErr w:type="spellEnd"/>
            <w:r w:rsidR="00C21F82">
              <w:rPr>
                <w:rFonts w:eastAsiaTheme="minorHAnsi"/>
                <w:sz w:val="28"/>
                <w:szCs w:val="28"/>
                <w:lang w:val="en-GB" w:eastAsia="en-GB"/>
              </w:rPr>
              <w:t xml:space="preserve"> </w:t>
            </w:r>
            <w:r w:rsidR="00C21F82">
              <w:rPr>
                <w:sz w:val="28"/>
                <w:szCs w:val="28"/>
                <w:lang w:val="ro-RO"/>
              </w:rPr>
              <w:t>Primăriei</w:t>
            </w:r>
            <w:r w:rsidR="00C21F82" w:rsidRPr="00A324E5">
              <w:rPr>
                <w:sz w:val="28"/>
                <w:szCs w:val="28"/>
                <w:lang w:val="ro-RO"/>
              </w:rPr>
              <w:t xml:space="preserve"> municipiului Chișinău</w:t>
            </w:r>
            <w:r w:rsidR="00C21F82">
              <w:rPr>
                <w:sz w:val="28"/>
                <w:szCs w:val="28"/>
                <w:lang w:val="ro-RO"/>
              </w:rPr>
              <w:t xml:space="preserve"> </w:t>
            </w:r>
            <w:r w:rsidR="00C21F82" w:rsidRPr="0063626F">
              <w:rPr>
                <w:sz w:val="28"/>
                <w:szCs w:val="28"/>
                <w:lang w:val="ro-RO"/>
              </w:rPr>
              <w:t>nr. 02-108/418 din 15 august 2019</w:t>
            </w:r>
            <w:r w:rsidR="00C21F82">
              <w:rPr>
                <w:sz w:val="28"/>
                <w:szCs w:val="28"/>
                <w:lang w:val="ro-RO"/>
              </w:rPr>
              <w:t xml:space="preserve"> și </w:t>
            </w:r>
            <w:r w:rsidR="00C21F82">
              <w:rPr>
                <w:sz w:val="28"/>
                <w:szCs w:val="28"/>
                <w:lang w:val="en-GB" w:eastAsia="en-GB"/>
              </w:rPr>
              <w:t xml:space="preserve"> </w:t>
            </w:r>
            <w:r w:rsidR="00C21F82" w:rsidRPr="007C3FFF">
              <w:rPr>
                <w:sz w:val="28"/>
                <w:szCs w:val="28"/>
                <w:lang w:val="ro-RO"/>
              </w:rPr>
              <w:t>Mișcării Refugiaților Transnistreni</w:t>
            </w:r>
            <w:r w:rsidR="00C21F82">
              <w:rPr>
                <w:sz w:val="28"/>
                <w:szCs w:val="28"/>
                <w:lang w:val="ro-RO"/>
              </w:rPr>
              <w:t xml:space="preserve"> nr.84 din 04 noiembrie2019)</w:t>
            </w:r>
            <w:r w:rsidR="00C21F82">
              <w:rPr>
                <w:sz w:val="28"/>
                <w:szCs w:val="28"/>
                <w:lang w:val="en-GB" w:eastAsia="en-GB"/>
              </w:rPr>
              <w:t xml:space="preserve"> </w:t>
            </w:r>
            <w:r w:rsidRPr="00536F20">
              <w:rPr>
                <w:sz w:val="28"/>
                <w:szCs w:val="28"/>
                <w:lang w:val="en-GB" w:eastAsia="en-GB"/>
              </w:rPr>
              <w:t xml:space="preserve">se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propune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prelungirea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termenelui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realizare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a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hotărării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în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sz w:val="28"/>
                <w:szCs w:val="28"/>
                <w:lang w:val="en-GB" w:eastAsia="en-GB"/>
              </w:rPr>
              <w:t>cauză</w:t>
            </w:r>
            <w:proofErr w:type="spellEnd"/>
            <w:r w:rsidRPr="00536F20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36F20">
              <w:rPr>
                <w:b/>
                <w:sz w:val="28"/>
                <w:szCs w:val="28"/>
                <w:u w:val="single"/>
                <w:lang w:val="en-GB" w:eastAsia="en-GB"/>
              </w:rPr>
              <w:t>pînă</w:t>
            </w:r>
            <w:proofErr w:type="spellEnd"/>
            <w:r w:rsidRPr="00536F20">
              <w:rPr>
                <w:b/>
                <w:sz w:val="28"/>
                <w:szCs w:val="28"/>
                <w:u w:val="single"/>
                <w:lang w:val="en-GB" w:eastAsia="en-GB"/>
              </w:rPr>
              <w:t xml:space="preserve"> la 31 </w:t>
            </w:r>
            <w:proofErr w:type="spellStart"/>
            <w:r w:rsidRPr="00536F20">
              <w:rPr>
                <w:b/>
                <w:sz w:val="28"/>
                <w:szCs w:val="28"/>
                <w:u w:val="single"/>
                <w:lang w:val="en-GB" w:eastAsia="en-GB"/>
              </w:rPr>
              <w:t>decembrie</w:t>
            </w:r>
            <w:proofErr w:type="spellEnd"/>
            <w:r w:rsidRPr="00536F20">
              <w:rPr>
                <w:b/>
                <w:sz w:val="28"/>
                <w:szCs w:val="28"/>
                <w:u w:val="single"/>
                <w:lang w:val="en-GB" w:eastAsia="en-GB"/>
              </w:rPr>
              <w:t xml:space="preserve"> 20</w:t>
            </w:r>
            <w:r w:rsidR="00C21F82">
              <w:rPr>
                <w:b/>
                <w:sz w:val="28"/>
                <w:szCs w:val="28"/>
                <w:u w:val="single"/>
                <w:lang w:val="en-GB" w:eastAsia="en-GB"/>
              </w:rPr>
              <w:t>20</w:t>
            </w:r>
            <w:r w:rsidRPr="00536F20">
              <w:rPr>
                <w:b/>
                <w:sz w:val="28"/>
                <w:szCs w:val="28"/>
                <w:u w:val="single"/>
                <w:lang w:val="en-GB" w:eastAsia="en-GB"/>
              </w:rPr>
              <w:t xml:space="preserve">. </w:t>
            </w:r>
          </w:p>
          <w:p w:rsidR="005513B4" w:rsidRPr="00536F20" w:rsidRDefault="005513B4" w:rsidP="00344013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economico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536F20" w:rsidTr="003E4509">
        <w:tc>
          <w:tcPr>
            <w:tcW w:w="5000" w:type="pct"/>
          </w:tcPr>
          <w:p w:rsidR="00344013" w:rsidRPr="00536F20" w:rsidRDefault="00034D63" w:rsidP="00344013">
            <w:pPr>
              <w:pStyle w:val="a4"/>
              <w:spacing w:line="276" w:lineRule="auto"/>
              <w:rPr>
                <w:sz w:val="28"/>
                <w:szCs w:val="28"/>
                <w:lang w:val="ro-RO"/>
              </w:rPr>
            </w:pPr>
            <w:r w:rsidRPr="00536F20">
              <w:rPr>
                <w:sz w:val="28"/>
                <w:szCs w:val="28"/>
                <w:lang w:val="en-GB"/>
              </w:rPr>
              <w:t xml:space="preserve">  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Întru realizarea </w:t>
            </w:r>
            <w:proofErr w:type="spellStart"/>
            <w:r w:rsidR="00344013" w:rsidRPr="00536F20">
              <w:rPr>
                <w:sz w:val="28"/>
                <w:szCs w:val="28"/>
                <w:lang w:val="ro-RO"/>
              </w:rPr>
              <w:t>Hotărîrii</w:t>
            </w:r>
            <w:proofErr w:type="spellEnd"/>
            <w:r w:rsidR="00344013" w:rsidRPr="00536F20">
              <w:rPr>
                <w:sz w:val="28"/>
                <w:szCs w:val="28"/>
                <w:lang w:val="ro-RO"/>
              </w:rPr>
              <w:t xml:space="preserve"> Guvernului nr.836 din 13 septembrie 2010 ”Cu privire la acordarea indemnizațiilor unice pentru construcția sau procurarea spațiului locativ, sau restaurarea caselor vechi unor categorii de cetățeni” </w:t>
            </w:r>
            <w:proofErr w:type="spellStart"/>
            <w:r w:rsidR="00C612EE">
              <w:rPr>
                <w:sz w:val="28"/>
                <w:szCs w:val="28"/>
                <w:lang w:val="ro-RO"/>
              </w:rPr>
              <w:t>d</w:t>
            </w:r>
            <w:r w:rsidR="00344013" w:rsidRPr="00536F20">
              <w:rPr>
                <w:sz w:val="28"/>
                <w:szCs w:val="28"/>
                <w:lang w:val="ro-RO"/>
              </w:rPr>
              <w:t>în</w:t>
            </w:r>
            <w:proofErr w:type="spellEnd"/>
            <w:r w:rsidR="00344013" w:rsidRPr="00536F20">
              <w:rPr>
                <w:sz w:val="28"/>
                <w:szCs w:val="28"/>
                <w:lang w:val="ro-RO"/>
              </w:rPr>
              <w:t xml:space="preserve"> </w:t>
            </w:r>
            <w:r w:rsidR="00344013" w:rsidRPr="00536F20">
              <w:rPr>
                <w:sz w:val="28"/>
                <w:szCs w:val="28"/>
                <w:lang w:val="ro-RO"/>
              </w:rPr>
              <w:lastRenderedPageBreak/>
              <w:t xml:space="preserve">bugetul de stat pe anii </w:t>
            </w:r>
            <w:r w:rsidR="00344013" w:rsidRPr="00536F20">
              <w:rPr>
                <w:b/>
                <w:sz w:val="28"/>
                <w:szCs w:val="28"/>
                <w:lang w:val="ro-RO"/>
              </w:rPr>
              <w:t>2010-201</w:t>
            </w:r>
            <w:r w:rsidR="00B8433F">
              <w:rPr>
                <w:b/>
                <w:sz w:val="28"/>
                <w:szCs w:val="28"/>
                <w:lang w:val="ro-RO"/>
              </w:rPr>
              <w:t>9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au fost </w:t>
            </w:r>
            <w:r w:rsidR="00C612EE">
              <w:rPr>
                <w:sz w:val="28"/>
                <w:szCs w:val="28"/>
                <w:lang w:val="ro-RO"/>
              </w:rPr>
              <w:t>utilizate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mijloace financiare în volum de </w:t>
            </w:r>
            <w:r w:rsidR="00344013" w:rsidRPr="00536F20">
              <w:rPr>
                <w:b/>
                <w:sz w:val="28"/>
                <w:szCs w:val="28"/>
                <w:lang w:val="ro-RO"/>
              </w:rPr>
              <w:t>12</w:t>
            </w:r>
            <w:r w:rsidR="00B8433F">
              <w:rPr>
                <w:b/>
                <w:sz w:val="28"/>
                <w:szCs w:val="28"/>
                <w:lang w:val="ro-RO"/>
              </w:rPr>
              <w:t>7,5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mil.lei pentru </w:t>
            </w:r>
            <w:r w:rsidR="00344013" w:rsidRPr="00536F20">
              <w:rPr>
                <w:b/>
                <w:sz w:val="28"/>
                <w:szCs w:val="28"/>
                <w:lang w:val="ro-RO"/>
              </w:rPr>
              <w:t>3</w:t>
            </w:r>
            <w:r w:rsidR="00B8433F">
              <w:rPr>
                <w:b/>
                <w:sz w:val="28"/>
                <w:szCs w:val="28"/>
                <w:lang w:val="ro-RO"/>
              </w:rPr>
              <w:t>532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beneficiari.</w:t>
            </w:r>
          </w:p>
          <w:p w:rsidR="005513B4" w:rsidRPr="00536F20" w:rsidRDefault="00344013" w:rsidP="006F6F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13B4" w:rsidRPr="00536F20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536F20">
              <w:rPr>
                <w:rFonts w:ascii="Times New Roman" w:hAnsi="Times New Roman" w:cs="Times New Roman"/>
                <w:sz w:val="28"/>
                <w:szCs w:val="28"/>
              </w:rPr>
              <w:t>necesită cheltuieli financiare s</w:t>
            </w:r>
            <w:r w:rsidR="00034D63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uplimentare din bugetul de stat </w:t>
            </w:r>
            <w:proofErr w:type="spellStart"/>
            <w:r w:rsidR="00034D63" w:rsidRPr="00536F20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536F20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536F20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536F20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circa </w:t>
            </w:r>
            <w:r w:rsidR="008273F6" w:rsidRPr="008273F6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4,5</w:t>
            </w:r>
            <w:r w:rsidR="00034D63" w:rsidRPr="008273F6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mil lei</w:t>
            </w:r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, care </w:t>
            </w:r>
            <w:proofErr w:type="spellStart"/>
            <w:r w:rsidR="006F6F00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sînt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prevăzute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r w:rsidR="00532D3C">
              <w:rPr>
                <w:rFonts w:ascii="Times New Roman" w:hAnsi="Times New Roman" w:cs="Times New Roman"/>
                <w:sz w:val="28"/>
                <w:szCs w:val="28"/>
                <w:lang w:val="ro-MD" w:eastAsia="en-GB"/>
              </w:rPr>
              <w:t xml:space="preserve">proiectul </w:t>
            </w:r>
            <w:proofErr w:type="spellStart"/>
            <w:r w:rsidR="00532D3C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Legii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bugetului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stat </w:t>
            </w:r>
            <w:proofErr w:type="spellStart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pentru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anul</w:t>
            </w:r>
            <w:proofErr w:type="spellEnd"/>
            <w:r w:rsidR="008273F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2020</w:t>
            </w:r>
            <w:r w:rsidR="008273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886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MD" w:eastAsia="zh-TW" w:bidi="en-US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 Aprobarea proiectului </w:t>
            </w: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cu privire la modificarea </w:t>
            </w:r>
            <w:proofErr w:type="spellStart"/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 din 13 septembrie 2010 </w:t>
            </w:r>
            <w:r w:rsidR="0088651A" w:rsidRPr="00536F20">
              <w:rPr>
                <w:bCs/>
                <w:color w:val="000000"/>
              </w:rPr>
              <w:t xml:space="preserve"> 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nu va </w:t>
            </w:r>
            <w:r w:rsidRPr="00536F20">
              <w:rPr>
                <w:rFonts w:ascii="Times New Roman" w:eastAsia="Times New Roman" w:hAnsi="Times New Roman"/>
                <w:sz w:val="28"/>
                <w:szCs w:val="28"/>
                <w:lang w:val="ro-MD" w:eastAsia="zh-TW" w:bidi="en-US"/>
              </w:rPr>
              <w:t>ge</w:t>
            </w:r>
            <w:bookmarkStart w:id="0" w:name="_GoBack"/>
            <w:bookmarkEnd w:id="0"/>
            <w:r w:rsidRPr="00536F20">
              <w:rPr>
                <w:rFonts w:ascii="Times New Roman" w:eastAsia="Times New Roman" w:hAnsi="Times New Roman"/>
                <w:sz w:val="28"/>
                <w:szCs w:val="28"/>
                <w:lang w:val="ro-MD" w:eastAsia="zh-TW" w:bidi="en-US"/>
              </w:rPr>
              <w:t>nera modificări și în textul altor acte normative.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 </w:t>
            </w:r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536F20">
                <w:rPr>
                  <w:rStyle w:val="a5"/>
                  <w:rFonts w:ascii="Times New Roman" w:hAnsi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536F20" w:rsidRDefault="005513B4" w:rsidP="003E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436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</w:t>
            </w:r>
            <w:r w:rsidR="00436E44" w:rsidRPr="00536F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6E690F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9</w:t>
            </w:r>
            <w:r w:rsidR="005513B4" w:rsidRPr="00536F2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536F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</w:tbl>
    <w:p w:rsidR="005513B4" w:rsidRPr="00536F20" w:rsidRDefault="005513B4" w:rsidP="005513B4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ro-MD"/>
        </w:rPr>
      </w:pPr>
    </w:p>
    <w:p w:rsidR="00D94539" w:rsidRPr="00536F20" w:rsidRDefault="00D94539" w:rsidP="005513B4"/>
    <w:p w:rsidR="00D94539" w:rsidRPr="00D94539" w:rsidRDefault="00536F20" w:rsidP="005250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536F2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  <w:proofErr w:type="spellStart"/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Viceprim-ministru</w:t>
      </w:r>
      <w:proofErr w:type="spellEnd"/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,                                                           </w:t>
      </w:r>
    </w:p>
    <w:p w:rsidR="008A669D" w:rsidRPr="00D94539" w:rsidRDefault="00D94539" w:rsidP="005250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Ministru</w:t>
      </w:r>
      <w:proofErr w:type="spellEnd"/>
      <w:r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al </w:t>
      </w:r>
      <w:proofErr w:type="spellStart"/>
      <w:r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Finanțelor</w:t>
      </w:r>
      <w:proofErr w:type="spellEnd"/>
      <w:r w:rsidR="008A6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                          </w:t>
      </w:r>
      <w:r w:rsidR="008A669D" w:rsidRPr="008A6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</w:t>
      </w:r>
      <w:proofErr w:type="spellStart"/>
      <w:r w:rsidR="008A669D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Serghei</w:t>
      </w:r>
      <w:proofErr w:type="spellEnd"/>
      <w:r w:rsidR="008A669D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PUȘCUȚA</w:t>
      </w:r>
    </w:p>
    <w:p w:rsidR="00D94539" w:rsidRPr="00D94539" w:rsidRDefault="00D94539" w:rsidP="00D9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536F20" w:rsidRPr="00D94539" w:rsidRDefault="00536F20" w:rsidP="00536F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536F20" w:rsidRDefault="00536F20" w:rsidP="005513B4"/>
    <w:p w:rsidR="00536F20" w:rsidRDefault="00536F20" w:rsidP="005513B4"/>
    <w:p w:rsidR="00536F20" w:rsidRDefault="00536F20" w:rsidP="005513B4"/>
    <w:p w:rsidR="00536F20" w:rsidRDefault="00536F20" w:rsidP="005513B4"/>
    <w:p w:rsidR="006E690F" w:rsidRDefault="006E690F" w:rsidP="005513B4"/>
    <w:p w:rsidR="006E690F" w:rsidRDefault="006E690F" w:rsidP="005513B4"/>
    <w:sectPr w:rsidR="006E690F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251585"/>
    <w:rsid w:val="00344013"/>
    <w:rsid w:val="00436E44"/>
    <w:rsid w:val="004A1380"/>
    <w:rsid w:val="00525033"/>
    <w:rsid w:val="00532D3C"/>
    <w:rsid w:val="00536F20"/>
    <w:rsid w:val="005513B4"/>
    <w:rsid w:val="00562119"/>
    <w:rsid w:val="005B0A0F"/>
    <w:rsid w:val="006637EC"/>
    <w:rsid w:val="00691C13"/>
    <w:rsid w:val="006C4EE5"/>
    <w:rsid w:val="006E690F"/>
    <w:rsid w:val="006F6F00"/>
    <w:rsid w:val="007F396D"/>
    <w:rsid w:val="00816911"/>
    <w:rsid w:val="008273F6"/>
    <w:rsid w:val="008662AD"/>
    <w:rsid w:val="0088651A"/>
    <w:rsid w:val="008A669D"/>
    <w:rsid w:val="00925C72"/>
    <w:rsid w:val="00B659E5"/>
    <w:rsid w:val="00B8433F"/>
    <w:rsid w:val="00C21F82"/>
    <w:rsid w:val="00C612EE"/>
    <w:rsid w:val="00D5131D"/>
    <w:rsid w:val="00D94539"/>
    <w:rsid w:val="00EA44DB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8352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5513B4"/>
  </w:style>
  <w:style w:type="paragraph" w:styleId="a3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a4">
    <w:name w:val="Normal (Web)"/>
    <w:basedOn w:val="a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1C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Sluhinscaia Rodica</cp:lastModifiedBy>
  <cp:revision>33</cp:revision>
  <cp:lastPrinted>2019-11-18T12:32:00Z</cp:lastPrinted>
  <dcterms:created xsi:type="dcterms:W3CDTF">2018-08-23T06:18:00Z</dcterms:created>
  <dcterms:modified xsi:type="dcterms:W3CDTF">2019-11-25T13:51:00Z</dcterms:modified>
</cp:coreProperties>
</file>