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B78" w:rsidRPr="001F4B78" w:rsidRDefault="001F4B78" w:rsidP="00615C6A">
      <w:pPr>
        <w:jc w:val="center"/>
        <w:rPr>
          <w:b/>
          <w:sz w:val="32"/>
          <w:szCs w:val="32"/>
        </w:rPr>
      </w:pPr>
    </w:p>
    <w:p w:rsidR="001F4B78" w:rsidRPr="00A7707A" w:rsidRDefault="00096EE2" w:rsidP="00615C6A">
      <w:pPr>
        <w:jc w:val="center"/>
        <w:rPr>
          <w:b/>
          <w:i/>
          <w:sz w:val="64"/>
          <w:szCs w:val="64"/>
        </w:rPr>
      </w:pPr>
      <w:r w:rsidRPr="00A7707A">
        <w:rPr>
          <w:b/>
          <w:i/>
          <w:sz w:val="64"/>
          <w:szCs w:val="64"/>
        </w:rPr>
        <w:t>Moldov</w:t>
      </w:r>
      <w:r w:rsidR="00615C6A" w:rsidRPr="00A7707A">
        <w:rPr>
          <w:b/>
          <w:i/>
          <w:sz w:val="64"/>
          <w:szCs w:val="64"/>
        </w:rPr>
        <w:t>a</w:t>
      </w:r>
    </w:p>
    <w:p w:rsidR="001F4B78" w:rsidRPr="001F4B78" w:rsidRDefault="001F4B78" w:rsidP="00615C6A">
      <w:pPr>
        <w:jc w:val="center"/>
        <w:rPr>
          <w:b/>
          <w:sz w:val="32"/>
          <w:szCs w:val="32"/>
        </w:rPr>
      </w:pPr>
    </w:p>
    <w:p w:rsidR="001F4B78" w:rsidRPr="001F4B78" w:rsidRDefault="001F4B78" w:rsidP="00615C6A">
      <w:pPr>
        <w:jc w:val="center"/>
        <w:rPr>
          <w:b/>
          <w:sz w:val="32"/>
          <w:szCs w:val="32"/>
        </w:rPr>
      </w:pPr>
      <w:r w:rsidRPr="001F4B78">
        <w:rPr>
          <w:b/>
          <w:noProof/>
          <w:sz w:val="32"/>
          <w:szCs w:val="32"/>
        </w:rPr>
        <w:drawing>
          <wp:inline distT="0" distB="0" distL="0" distR="0">
            <wp:extent cx="3365834" cy="608812"/>
            <wp:effectExtent l="19050" t="0" r="6016"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90008" cy="613185"/>
                    </a:xfrm>
                    <a:prstGeom prst="rect">
                      <a:avLst/>
                    </a:prstGeom>
                    <a:noFill/>
                    <a:ln w="9525">
                      <a:noFill/>
                      <a:miter lim="800000"/>
                      <a:headEnd/>
                      <a:tailEnd/>
                    </a:ln>
                  </pic:spPr>
                </pic:pic>
              </a:graphicData>
            </a:graphic>
          </wp:inline>
        </w:drawing>
      </w:r>
    </w:p>
    <w:p w:rsidR="001F4B78" w:rsidRPr="001F4B78" w:rsidRDefault="001F4B78" w:rsidP="00615C6A">
      <w:pPr>
        <w:jc w:val="center"/>
        <w:rPr>
          <w:b/>
          <w:sz w:val="32"/>
          <w:szCs w:val="32"/>
        </w:rPr>
      </w:pPr>
    </w:p>
    <w:p w:rsidR="00615C6A" w:rsidRPr="001F4B78" w:rsidRDefault="001E3919" w:rsidP="00615C6A">
      <w:pPr>
        <w:jc w:val="center"/>
        <w:rPr>
          <w:b/>
          <w:sz w:val="32"/>
          <w:szCs w:val="32"/>
        </w:rPr>
      </w:pPr>
      <w:r w:rsidRPr="001F4B78">
        <w:rPr>
          <w:b/>
          <w:sz w:val="32"/>
          <w:szCs w:val="32"/>
        </w:rPr>
        <w:t xml:space="preserve">Government </w:t>
      </w:r>
      <w:r w:rsidR="00DC4CA8">
        <w:rPr>
          <w:b/>
          <w:sz w:val="32"/>
          <w:szCs w:val="32"/>
        </w:rPr>
        <w:t>Public Finance</w:t>
      </w:r>
      <w:r w:rsidRPr="001F4B78">
        <w:rPr>
          <w:b/>
          <w:sz w:val="32"/>
          <w:szCs w:val="32"/>
        </w:rPr>
        <w:t xml:space="preserve"> Database</w:t>
      </w:r>
    </w:p>
    <w:p w:rsidR="006A0358" w:rsidRPr="001F4B78" w:rsidRDefault="006A0358" w:rsidP="00615C6A">
      <w:pPr>
        <w:jc w:val="center"/>
        <w:rPr>
          <w:b/>
          <w:sz w:val="32"/>
          <w:szCs w:val="32"/>
        </w:rPr>
      </w:pPr>
    </w:p>
    <w:p w:rsidR="001F4B78" w:rsidRPr="001F4B78" w:rsidRDefault="001F4B78" w:rsidP="00615C6A">
      <w:pPr>
        <w:jc w:val="center"/>
        <w:rPr>
          <w:b/>
          <w:sz w:val="32"/>
          <w:szCs w:val="32"/>
        </w:rPr>
      </w:pPr>
    </w:p>
    <w:p w:rsidR="00615C6A" w:rsidRPr="001F4B78" w:rsidRDefault="00096EE2" w:rsidP="00615C6A">
      <w:pPr>
        <w:jc w:val="center"/>
        <w:rPr>
          <w:sz w:val="32"/>
          <w:szCs w:val="32"/>
        </w:rPr>
      </w:pPr>
      <w:r w:rsidRPr="001F4B78">
        <w:rPr>
          <w:noProof/>
          <w:sz w:val="32"/>
          <w:szCs w:val="32"/>
        </w:rPr>
        <w:drawing>
          <wp:inline distT="0" distB="0" distL="0" distR="0">
            <wp:extent cx="3048936" cy="3780000"/>
            <wp:effectExtent l="19050" t="0" r="0" b="0"/>
            <wp:docPr id="1" name="Imagen 1" descr="http://www.miepo.md/public/files/maps/moldova_raio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epo.md/public/files/maps/moldova_raioane.jpg"/>
                    <pic:cNvPicPr>
                      <a:picLocks noChangeAspect="1" noChangeArrowheads="1"/>
                    </pic:cNvPicPr>
                  </pic:nvPicPr>
                  <pic:blipFill>
                    <a:blip r:embed="rId9" cstate="print"/>
                    <a:srcRect/>
                    <a:stretch>
                      <a:fillRect/>
                    </a:stretch>
                  </pic:blipFill>
                  <pic:spPr bwMode="auto">
                    <a:xfrm>
                      <a:off x="0" y="0"/>
                      <a:ext cx="3048936" cy="3780000"/>
                    </a:xfrm>
                    <a:prstGeom prst="rect">
                      <a:avLst/>
                    </a:prstGeom>
                    <a:noFill/>
                    <a:ln w="9525">
                      <a:noFill/>
                      <a:miter lim="800000"/>
                      <a:headEnd/>
                      <a:tailEnd/>
                    </a:ln>
                  </pic:spPr>
                </pic:pic>
              </a:graphicData>
            </a:graphic>
          </wp:inline>
        </w:drawing>
      </w:r>
    </w:p>
    <w:p w:rsidR="001F4B78" w:rsidRPr="001F4B78" w:rsidRDefault="001F4B78" w:rsidP="00615C6A">
      <w:pPr>
        <w:jc w:val="center"/>
        <w:rPr>
          <w:sz w:val="32"/>
          <w:szCs w:val="32"/>
        </w:rPr>
      </w:pPr>
    </w:p>
    <w:p w:rsidR="001F4B78" w:rsidRPr="001F4B78" w:rsidRDefault="001F4B78" w:rsidP="00615C6A">
      <w:pPr>
        <w:jc w:val="center"/>
        <w:rPr>
          <w:sz w:val="32"/>
          <w:szCs w:val="32"/>
        </w:rPr>
      </w:pPr>
    </w:p>
    <w:p w:rsidR="001F4B78" w:rsidRPr="001F4B78" w:rsidRDefault="00C07360" w:rsidP="001F4B78">
      <w:pPr>
        <w:jc w:val="center"/>
        <w:rPr>
          <w:b/>
          <w:i/>
          <w:sz w:val="64"/>
          <w:szCs w:val="64"/>
        </w:rPr>
      </w:pPr>
      <w:r>
        <w:rPr>
          <w:b/>
          <w:i/>
          <w:sz w:val="64"/>
          <w:szCs w:val="64"/>
        </w:rPr>
        <w:t>User</w:t>
      </w:r>
      <w:r w:rsidR="001F4B78" w:rsidRPr="001F4B78">
        <w:rPr>
          <w:b/>
          <w:i/>
          <w:sz w:val="64"/>
          <w:szCs w:val="64"/>
        </w:rPr>
        <w:t xml:space="preserve"> Manual</w:t>
      </w:r>
    </w:p>
    <w:p w:rsidR="001F4B78" w:rsidRDefault="001F4B78" w:rsidP="00615C6A">
      <w:pPr>
        <w:pStyle w:val="ListParagraph"/>
        <w:ind w:left="0"/>
        <w:jc w:val="center"/>
        <w:rPr>
          <w:sz w:val="32"/>
          <w:szCs w:val="32"/>
        </w:rPr>
      </w:pPr>
    </w:p>
    <w:p w:rsidR="001F4B78" w:rsidRPr="001F4B78" w:rsidRDefault="001F4B78" w:rsidP="00615C6A">
      <w:pPr>
        <w:pStyle w:val="ListParagraph"/>
        <w:ind w:left="0"/>
        <w:jc w:val="center"/>
        <w:rPr>
          <w:sz w:val="32"/>
          <w:szCs w:val="32"/>
        </w:rPr>
      </w:pPr>
    </w:p>
    <w:p w:rsidR="00E230C1" w:rsidRPr="001F4B78" w:rsidRDefault="00E230C1" w:rsidP="00E230C1">
      <w:pPr>
        <w:pStyle w:val="ListParagraph"/>
        <w:ind w:left="0"/>
        <w:jc w:val="center"/>
        <w:rPr>
          <w:b/>
          <w:sz w:val="32"/>
          <w:szCs w:val="32"/>
        </w:rPr>
      </w:pPr>
      <w:r w:rsidRPr="001F4B78">
        <w:rPr>
          <w:b/>
          <w:sz w:val="32"/>
          <w:szCs w:val="32"/>
        </w:rPr>
        <w:t>The World Bank</w:t>
      </w:r>
    </w:p>
    <w:p w:rsidR="00026BBE" w:rsidRPr="001F4B78" w:rsidRDefault="007A56C4" w:rsidP="001F4B78">
      <w:pPr>
        <w:pStyle w:val="ListParagraph"/>
        <w:ind w:left="0"/>
        <w:jc w:val="center"/>
        <w:rPr>
          <w:sz w:val="32"/>
          <w:szCs w:val="32"/>
        </w:rPr>
        <w:sectPr w:rsidR="00026BBE" w:rsidRPr="001F4B78" w:rsidSect="00E230C1">
          <w:footerReference w:type="default" r:id="rId10"/>
          <w:footerReference w:type="first" r:id="rId11"/>
          <w:pgSz w:w="12240" w:h="15840"/>
          <w:pgMar w:top="1440" w:right="1440" w:bottom="1440" w:left="1440"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r>
        <w:rPr>
          <w:b/>
          <w:sz w:val="32"/>
          <w:szCs w:val="32"/>
        </w:rPr>
        <w:t>October</w:t>
      </w:r>
      <w:r w:rsidR="00C87011">
        <w:rPr>
          <w:b/>
          <w:sz w:val="32"/>
          <w:szCs w:val="32"/>
        </w:rPr>
        <w:t xml:space="preserve"> </w:t>
      </w:r>
      <w:r w:rsidR="00C07360">
        <w:rPr>
          <w:b/>
          <w:sz w:val="32"/>
          <w:szCs w:val="32"/>
        </w:rPr>
        <w:t>2018</w:t>
      </w:r>
    </w:p>
    <w:sdt>
      <w:sdtPr>
        <w:rPr>
          <w:rFonts w:ascii="Times New Roman" w:eastAsia="Calibri" w:hAnsi="Times New Roman" w:cs="Times New Roman"/>
          <w:b w:val="0"/>
          <w:bCs w:val="0"/>
          <w:color w:val="auto"/>
          <w:sz w:val="24"/>
          <w:szCs w:val="24"/>
          <w:lang w:val="en-US"/>
        </w:rPr>
        <w:id w:val="190297321"/>
        <w:docPartObj>
          <w:docPartGallery w:val="Table of Contents"/>
          <w:docPartUnique/>
        </w:docPartObj>
      </w:sdtPr>
      <w:sdtEndPr>
        <w:rPr>
          <w:b/>
        </w:rPr>
      </w:sdtEndPr>
      <w:sdtContent>
        <w:p w:rsidR="00920017" w:rsidRDefault="00920017" w:rsidP="00920017">
          <w:pPr>
            <w:pStyle w:val="TOCHeading"/>
            <w:pBdr>
              <w:bottom w:val="single" w:sz="6" w:space="1" w:color="auto"/>
            </w:pBdr>
            <w:jc w:val="center"/>
            <w:rPr>
              <w:rFonts w:ascii="Times New Roman" w:hAnsi="Times New Roman" w:cs="Times New Roman"/>
              <w:color w:val="auto"/>
              <w:sz w:val="24"/>
              <w:szCs w:val="24"/>
              <w:lang w:val="en-US"/>
            </w:rPr>
          </w:pPr>
          <w:r w:rsidRPr="004E346F">
            <w:rPr>
              <w:rFonts w:ascii="Times New Roman" w:hAnsi="Times New Roman" w:cs="Times New Roman"/>
              <w:color w:val="auto"/>
              <w:sz w:val="32"/>
              <w:szCs w:val="24"/>
              <w:lang w:val="en-US"/>
            </w:rPr>
            <w:t>Contents</w:t>
          </w:r>
        </w:p>
        <w:p w:rsidR="00920017" w:rsidRPr="00920017" w:rsidRDefault="00920017" w:rsidP="00837ABA"/>
        <w:p w:rsidR="00920017" w:rsidRPr="00920017" w:rsidRDefault="00920017" w:rsidP="00837ABA">
          <w:pPr>
            <w:rPr>
              <w:lang w:val="es-ES"/>
            </w:rPr>
          </w:pPr>
        </w:p>
        <w:p w:rsidR="00D608A0" w:rsidRDefault="00B34B8A">
          <w:pPr>
            <w:pStyle w:val="TOC1"/>
            <w:tabs>
              <w:tab w:val="right" w:leader="dot" w:pos="9350"/>
            </w:tabs>
            <w:rPr>
              <w:rFonts w:asciiTheme="minorHAnsi" w:eastAsiaTheme="minorEastAsia" w:hAnsiTheme="minorHAnsi" w:cstheme="minorBidi"/>
              <w:noProof/>
              <w:sz w:val="22"/>
              <w:szCs w:val="22"/>
            </w:rPr>
          </w:pPr>
          <w:r w:rsidRPr="00757B3D">
            <w:fldChar w:fldCharType="begin"/>
          </w:r>
          <w:r w:rsidR="00920017" w:rsidRPr="00757B3D">
            <w:instrText xml:space="preserve"> TOC \o "1-3" \h \z \u </w:instrText>
          </w:r>
          <w:r w:rsidRPr="00757B3D">
            <w:fldChar w:fldCharType="separate"/>
          </w:r>
          <w:hyperlink w:anchor="_Toc525924311" w:history="1">
            <w:r w:rsidR="00D608A0" w:rsidRPr="00682C89">
              <w:rPr>
                <w:rStyle w:val="Hyperlink"/>
                <w:noProof/>
              </w:rPr>
              <w:t>I.  About BOOST</w:t>
            </w:r>
            <w:r w:rsidR="00D608A0">
              <w:rPr>
                <w:noProof/>
                <w:webHidden/>
              </w:rPr>
              <w:tab/>
            </w:r>
            <w:r w:rsidR="00D608A0">
              <w:rPr>
                <w:noProof/>
                <w:webHidden/>
              </w:rPr>
              <w:fldChar w:fldCharType="begin"/>
            </w:r>
            <w:r w:rsidR="00D608A0">
              <w:rPr>
                <w:noProof/>
                <w:webHidden/>
              </w:rPr>
              <w:instrText xml:space="preserve"> PAGEREF _Toc525924311 \h </w:instrText>
            </w:r>
            <w:r w:rsidR="00D608A0">
              <w:rPr>
                <w:noProof/>
                <w:webHidden/>
              </w:rPr>
            </w:r>
            <w:r w:rsidR="00D608A0">
              <w:rPr>
                <w:noProof/>
                <w:webHidden/>
              </w:rPr>
              <w:fldChar w:fldCharType="separate"/>
            </w:r>
            <w:r w:rsidR="00DF038B">
              <w:rPr>
                <w:noProof/>
                <w:webHidden/>
              </w:rPr>
              <w:t>3</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2" w:history="1">
            <w:r w:rsidR="00D608A0" w:rsidRPr="00682C89">
              <w:rPr>
                <w:rStyle w:val="Hyperlink"/>
                <w:noProof/>
              </w:rPr>
              <w:t>The Moldova BOOST at a Glance</w:t>
            </w:r>
            <w:r w:rsidR="00D608A0">
              <w:rPr>
                <w:noProof/>
                <w:webHidden/>
              </w:rPr>
              <w:tab/>
            </w:r>
            <w:r w:rsidR="00D608A0">
              <w:rPr>
                <w:noProof/>
                <w:webHidden/>
              </w:rPr>
              <w:fldChar w:fldCharType="begin"/>
            </w:r>
            <w:r w:rsidR="00D608A0">
              <w:rPr>
                <w:noProof/>
                <w:webHidden/>
              </w:rPr>
              <w:instrText xml:space="preserve"> PAGEREF _Toc525924312 \h </w:instrText>
            </w:r>
            <w:r w:rsidR="00D608A0">
              <w:rPr>
                <w:noProof/>
                <w:webHidden/>
              </w:rPr>
            </w:r>
            <w:r w:rsidR="00D608A0">
              <w:rPr>
                <w:noProof/>
                <w:webHidden/>
              </w:rPr>
              <w:fldChar w:fldCharType="separate"/>
            </w:r>
            <w:r w:rsidR="00DF038B">
              <w:rPr>
                <w:noProof/>
                <w:webHidden/>
              </w:rPr>
              <w:t>4</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3" w:history="1">
            <w:r w:rsidR="00D608A0" w:rsidRPr="00682C89">
              <w:rPr>
                <w:rStyle w:val="Hyperlink"/>
                <w:noProof/>
              </w:rPr>
              <w:t>II. Moldova Budget Structure</w:t>
            </w:r>
            <w:r w:rsidR="00D608A0">
              <w:rPr>
                <w:noProof/>
                <w:webHidden/>
              </w:rPr>
              <w:tab/>
            </w:r>
            <w:r w:rsidR="00D608A0">
              <w:rPr>
                <w:noProof/>
                <w:webHidden/>
              </w:rPr>
              <w:fldChar w:fldCharType="begin"/>
            </w:r>
            <w:r w:rsidR="00D608A0">
              <w:rPr>
                <w:noProof/>
                <w:webHidden/>
              </w:rPr>
              <w:instrText xml:space="preserve"> PAGEREF _Toc525924313 \h </w:instrText>
            </w:r>
            <w:r w:rsidR="00D608A0">
              <w:rPr>
                <w:noProof/>
                <w:webHidden/>
              </w:rPr>
            </w:r>
            <w:r w:rsidR="00D608A0">
              <w:rPr>
                <w:noProof/>
                <w:webHidden/>
              </w:rPr>
              <w:fldChar w:fldCharType="separate"/>
            </w:r>
            <w:r w:rsidR="00DF038B">
              <w:rPr>
                <w:noProof/>
                <w:webHidden/>
              </w:rPr>
              <w:t>5</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4" w:history="1">
            <w:r w:rsidR="00D608A0" w:rsidRPr="00682C89">
              <w:rPr>
                <w:rStyle w:val="Hyperlink"/>
                <w:noProof/>
              </w:rPr>
              <w:t>III.  Database Organization</w:t>
            </w:r>
            <w:r w:rsidR="00D608A0">
              <w:rPr>
                <w:noProof/>
                <w:webHidden/>
              </w:rPr>
              <w:tab/>
            </w:r>
            <w:r w:rsidR="00D608A0">
              <w:rPr>
                <w:noProof/>
                <w:webHidden/>
              </w:rPr>
              <w:fldChar w:fldCharType="begin"/>
            </w:r>
            <w:r w:rsidR="00D608A0">
              <w:rPr>
                <w:noProof/>
                <w:webHidden/>
              </w:rPr>
              <w:instrText xml:space="preserve"> PAGEREF _Toc525924314 \h </w:instrText>
            </w:r>
            <w:r w:rsidR="00D608A0">
              <w:rPr>
                <w:noProof/>
                <w:webHidden/>
              </w:rPr>
            </w:r>
            <w:r w:rsidR="00D608A0">
              <w:rPr>
                <w:noProof/>
                <w:webHidden/>
              </w:rPr>
              <w:fldChar w:fldCharType="separate"/>
            </w:r>
            <w:r w:rsidR="00DF038B">
              <w:rPr>
                <w:noProof/>
                <w:webHidden/>
              </w:rPr>
              <w:t>7</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5" w:history="1">
            <w:r w:rsidR="00D608A0" w:rsidRPr="00682C89">
              <w:rPr>
                <w:rStyle w:val="Hyperlink"/>
                <w:noProof/>
              </w:rPr>
              <w:t>IV. How to Use BOOST</w:t>
            </w:r>
            <w:r w:rsidR="00D608A0">
              <w:rPr>
                <w:noProof/>
                <w:webHidden/>
              </w:rPr>
              <w:tab/>
            </w:r>
            <w:r w:rsidR="00D608A0">
              <w:rPr>
                <w:noProof/>
                <w:webHidden/>
              </w:rPr>
              <w:fldChar w:fldCharType="begin"/>
            </w:r>
            <w:r w:rsidR="00D608A0">
              <w:rPr>
                <w:noProof/>
                <w:webHidden/>
              </w:rPr>
              <w:instrText xml:space="preserve"> PAGEREF _Toc525924315 \h </w:instrText>
            </w:r>
            <w:r w:rsidR="00D608A0">
              <w:rPr>
                <w:noProof/>
                <w:webHidden/>
              </w:rPr>
            </w:r>
            <w:r w:rsidR="00D608A0">
              <w:rPr>
                <w:noProof/>
                <w:webHidden/>
              </w:rPr>
              <w:fldChar w:fldCharType="separate"/>
            </w:r>
            <w:r w:rsidR="00DF038B">
              <w:rPr>
                <w:noProof/>
                <w:webHidden/>
              </w:rPr>
              <w:t>11</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6" w:history="1">
            <w:r w:rsidR="00D608A0" w:rsidRPr="00682C89">
              <w:rPr>
                <w:rStyle w:val="Hyperlink"/>
                <w:noProof/>
              </w:rPr>
              <w:t>V. Glossary</w:t>
            </w:r>
            <w:r w:rsidR="00D608A0">
              <w:rPr>
                <w:noProof/>
                <w:webHidden/>
              </w:rPr>
              <w:tab/>
            </w:r>
            <w:r w:rsidR="00D608A0">
              <w:rPr>
                <w:noProof/>
                <w:webHidden/>
              </w:rPr>
              <w:fldChar w:fldCharType="begin"/>
            </w:r>
            <w:r w:rsidR="00D608A0">
              <w:rPr>
                <w:noProof/>
                <w:webHidden/>
              </w:rPr>
              <w:instrText xml:space="preserve"> PAGEREF _Toc525924316 \h </w:instrText>
            </w:r>
            <w:r w:rsidR="00D608A0">
              <w:rPr>
                <w:noProof/>
                <w:webHidden/>
              </w:rPr>
            </w:r>
            <w:r w:rsidR="00D608A0">
              <w:rPr>
                <w:noProof/>
                <w:webHidden/>
              </w:rPr>
              <w:fldChar w:fldCharType="separate"/>
            </w:r>
            <w:r w:rsidR="00DF038B">
              <w:rPr>
                <w:noProof/>
                <w:webHidden/>
              </w:rPr>
              <w:t>15</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7" w:history="1">
            <w:r w:rsidR="00D608A0" w:rsidRPr="00682C89">
              <w:rPr>
                <w:rStyle w:val="Hyperlink"/>
                <w:noProof/>
              </w:rPr>
              <w:t>VI. Budget Classification Bridge Tables</w:t>
            </w:r>
            <w:r w:rsidR="00D608A0">
              <w:rPr>
                <w:noProof/>
                <w:webHidden/>
              </w:rPr>
              <w:tab/>
            </w:r>
            <w:r w:rsidR="00D608A0">
              <w:rPr>
                <w:noProof/>
                <w:webHidden/>
              </w:rPr>
              <w:fldChar w:fldCharType="begin"/>
            </w:r>
            <w:r w:rsidR="00D608A0">
              <w:rPr>
                <w:noProof/>
                <w:webHidden/>
              </w:rPr>
              <w:instrText xml:space="preserve"> PAGEREF _Toc525924317 \h </w:instrText>
            </w:r>
            <w:r w:rsidR="00D608A0">
              <w:rPr>
                <w:noProof/>
                <w:webHidden/>
              </w:rPr>
            </w:r>
            <w:r w:rsidR="00D608A0">
              <w:rPr>
                <w:noProof/>
                <w:webHidden/>
              </w:rPr>
              <w:fldChar w:fldCharType="separate"/>
            </w:r>
            <w:r w:rsidR="00DF038B">
              <w:rPr>
                <w:noProof/>
                <w:webHidden/>
              </w:rPr>
              <w:t>16</w:t>
            </w:r>
            <w:r w:rsidR="00D608A0">
              <w:rPr>
                <w:noProof/>
                <w:webHidden/>
              </w:rPr>
              <w:fldChar w:fldCharType="end"/>
            </w:r>
          </w:hyperlink>
        </w:p>
        <w:p w:rsidR="00D608A0" w:rsidRDefault="005069AD">
          <w:pPr>
            <w:pStyle w:val="TOC1"/>
            <w:tabs>
              <w:tab w:val="right" w:leader="dot" w:pos="9350"/>
            </w:tabs>
            <w:rPr>
              <w:rFonts w:asciiTheme="minorHAnsi" w:eastAsiaTheme="minorEastAsia" w:hAnsiTheme="minorHAnsi" w:cstheme="minorBidi"/>
              <w:noProof/>
              <w:sz w:val="22"/>
              <w:szCs w:val="22"/>
            </w:rPr>
          </w:pPr>
          <w:hyperlink w:anchor="_Toc525924318" w:history="1">
            <w:r w:rsidR="00D608A0" w:rsidRPr="00682C89">
              <w:rPr>
                <w:rStyle w:val="Hyperlink"/>
                <w:noProof/>
              </w:rPr>
              <w:t>Appendix. Budget Classification Codes</w:t>
            </w:r>
            <w:r w:rsidR="00D608A0">
              <w:rPr>
                <w:noProof/>
                <w:webHidden/>
              </w:rPr>
              <w:tab/>
            </w:r>
            <w:r w:rsidR="00D608A0">
              <w:rPr>
                <w:noProof/>
                <w:webHidden/>
              </w:rPr>
              <w:fldChar w:fldCharType="begin"/>
            </w:r>
            <w:r w:rsidR="00D608A0">
              <w:rPr>
                <w:noProof/>
                <w:webHidden/>
              </w:rPr>
              <w:instrText xml:space="preserve"> PAGEREF _Toc525924318 \h </w:instrText>
            </w:r>
            <w:r w:rsidR="00D608A0">
              <w:rPr>
                <w:noProof/>
                <w:webHidden/>
              </w:rPr>
            </w:r>
            <w:r w:rsidR="00D608A0">
              <w:rPr>
                <w:noProof/>
                <w:webHidden/>
              </w:rPr>
              <w:fldChar w:fldCharType="separate"/>
            </w:r>
            <w:r w:rsidR="00DF038B">
              <w:rPr>
                <w:noProof/>
                <w:webHidden/>
              </w:rPr>
              <w:t>17</w:t>
            </w:r>
            <w:r w:rsidR="00D608A0">
              <w:rPr>
                <w:noProof/>
                <w:webHidden/>
              </w:rPr>
              <w:fldChar w:fldCharType="end"/>
            </w:r>
          </w:hyperlink>
        </w:p>
        <w:p w:rsidR="00920017" w:rsidRPr="004E346F" w:rsidRDefault="00B34B8A" w:rsidP="00837ABA">
          <w:pPr>
            <w:rPr>
              <w:b/>
            </w:rPr>
          </w:pPr>
          <w:r w:rsidRPr="00757B3D">
            <w:fldChar w:fldCharType="end"/>
          </w:r>
        </w:p>
      </w:sdtContent>
    </w:sdt>
    <w:p w:rsidR="00920017" w:rsidRDefault="00920017" w:rsidP="00920017">
      <w:pPr>
        <w:tabs>
          <w:tab w:val="left" w:pos="1440"/>
        </w:tabs>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FE233C" w:rsidRDefault="00FE233C" w:rsidP="00FE233C">
      <w:pPr>
        <w:tabs>
          <w:tab w:val="left" w:pos="1440"/>
        </w:tabs>
        <w:jc w:val="center"/>
      </w:pPr>
    </w:p>
    <w:p w:rsidR="009B1F81" w:rsidRPr="009B1F81" w:rsidRDefault="009B1F81" w:rsidP="009B1F81">
      <w:pPr>
        <w:jc w:val="center"/>
        <w:rPr>
          <w:rFonts w:ascii="Arial" w:eastAsia="Times New Roman" w:hAnsi="Arial" w:cs="Arial"/>
          <w:color w:val="000000"/>
          <w:sz w:val="18"/>
          <w:szCs w:val="18"/>
        </w:rPr>
      </w:pPr>
    </w:p>
    <w:p w:rsidR="00A90B55" w:rsidRDefault="00A90B55" w:rsidP="00FE233C">
      <w:pPr>
        <w:tabs>
          <w:tab w:val="left" w:pos="1440"/>
        </w:tabs>
        <w:jc w:val="center"/>
      </w:pPr>
    </w:p>
    <w:p w:rsidR="009B1F81" w:rsidRDefault="009B1F81" w:rsidP="00FE233C">
      <w:pPr>
        <w:tabs>
          <w:tab w:val="left" w:pos="1440"/>
        </w:tabs>
        <w:jc w:val="center"/>
      </w:pPr>
    </w:p>
    <w:p w:rsidR="00E914B2" w:rsidRDefault="00E914B2" w:rsidP="00FE233C">
      <w:pPr>
        <w:tabs>
          <w:tab w:val="left" w:pos="1440"/>
        </w:tabs>
        <w:jc w:val="center"/>
      </w:pPr>
    </w:p>
    <w:p w:rsidR="00E914B2" w:rsidRDefault="00E914B2" w:rsidP="00FE233C">
      <w:pPr>
        <w:tabs>
          <w:tab w:val="left" w:pos="1440"/>
        </w:tabs>
        <w:jc w:val="center"/>
      </w:pPr>
    </w:p>
    <w:p w:rsidR="00E914B2" w:rsidRDefault="00925404" w:rsidP="00FE233C">
      <w:pPr>
        <w:tabs>
          <w:tab w:val="left" w:pos="1440"/>
        </w:tabs>
        <w:jc w:val="center"/>
      </w:pPr>
      <w:r>
        <w:rPr>
          <w:noProof/>
        </w:rPr>
        <w:drawing>
          <wp:inline distT="0" distB="0" distL="0" distR="0" wp14:anchorId="7FC97C94" wp14:editId="6FBD42CF">
            <wp:extent cx="3538601" cy="1158930"/>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3381" cy="1199797"/>
                    </a:xfrm>
                    <a:prstGeom prst="rect">
                      <a:avLst/>
                    </a:prstGeom>
                  </pic:spPr>
                </pic:pic>
              </a:graphicData>
            </a:graphic>
          </wp:inline>
        </w:drawing>
      </w:r>
    </w:p>
    <w:p w:rsidR="00E914B2" w:rsidRDefault="00E914B2" w:rsidP="00FE233C">
      <w:pPr>
        <w:tabs>
          <w:tab w:val="left" w:pos="1440"/>
        </w:tabs>
        <w:jc w:val="center"/>
      </w:pPr>
    </w:p>
    <w:p w:rsidR="00E914B2" w:rsidRDefault="00E914B2" w:rsidP="00FE233C">
      <w:pPr>
        <w:tabs>
          <w:tab w:val="left" w:pos="1440"/>
        </w:tabs>
        <w:jc w:val="center"/>
      </w:pPr>
    </w:p>
    <w:p w:rsidR="00E914B2" w:rsidRDefault="00E914B2" w:rsidP="00FE233C">
      <w:pPr>
        <w:tabs>
          <w:tab w:val="left" w:pos="1440"/>
        </w:tabs>
        <w:jc w:val="center"/>
      </w:pPr>
    </w:p>
    <w:p w:rsidR="0058136F" w:rsidRDefault="0058136F" w:rsidP="00FE233C">
      <w:pPr>
        <w:tabs>
          <w:tab w:val="left" w:pos="1440"/>
        </w:tabs>
        <w:jc w:val="center"/>
      </w:pPr>
    </w:p>
    <w:p w:rsidR="00E914B2" w:rsidRDefault="00E914B2" w:rsidP="00FE233C">
      <w:pPr>
        <w:tabs>
          <w:tab w:val="left" w:pos="1440"/>
        </w:tabs>
        <w:jc w:val="center"/>
      </w:pPr>
    </w:p>
    <w:p w:rsidR="00611573" w:rsidRDefault="00611573" w:rsidP="00FE233C">
      <w:pPr>
        <w:tabs>
          <w:tab w:val="left" w:pos="1440"/>
        </w:tabs>
        <w:jc w:val="center"/>
      </w:pPr>
    </w:p>
    <w:p w:rsidR="00611573" w:rsidRDefault="00611573" w:rsidP="00FE233C">
      <w:pPr>
        <w:tabs>
          <w:tab w:val="left" w:pos="1440"/>
        </w:tabs>
        <w:jc w:val="center"/>
      </w:pPr>
    </w:p>
    <w:p w:rsidR="00CE3ECE" w:rsidRPr="004E346F" w:rsidRDefault="0092527D" w:rsidP="00920017">
      <w:pPr>
        <w:pStyle w:val="Heading1"/>
        <w:pBdr>
          <w:bottom w:val="single" w:sz="6" w:space="1" w:color="auto"/>
        </w:pBdr>
        <w:jc w:val="center"/>
        <w:rPr>
          <w:rFonts w:ascii="Times New Roman" w:hAnsi="Times New Roman" w:cs="Times New Roman"/>
          <w:color w:val="auto"/>
          <w:sz w:val="32"/>
          <w:szCs w:val="24"/>
        </w:rPr>
      </w:pPr>
      <w:bookmarkStart w:id="0" w:name="_Toc525924311"/>
      <w:r w:rsidRPr="004E346F">
        <w:rPr>
          <w:rFonts w:ascii="Times New Roman" w:hAnsi="Times New Roman" w:cs="Times New Roman"/>
          <w:color w:val="auto"/>
          <w:sz w:val="32"/>
          <w:szCs w:val="24"/>
        </w:rPr>
        <w:lastRenderedPageBreak/>
        <w:t>I.  About BOOST</w:t>
      </w:r>
      <w:bookmarkEnd w:id="0"/>
    </w:p>
    <w:p w:rsidR="0092527D" w:rsidRDefault="0092527D" w:rsidP="0092527D">
      <w:pPr>
        <w:tabs>
          <w:tab w:val="left" w:pos="1440"/>
        </w:tabs>
        <w:jc w:val="both"/>
      </w:pPr>
    </w:p>
    <w:p w:rsidR="00FD36FC" w:rsidRDefault="00FD36FC" w:rsidP="00FD36FC">
      <w:pPr>
        <w:tabs>
          <w:tab w:val="left" w:pos="1440"/>
        </w:tabs>
        <w:jc w:val="both"/>
      </w:pPr>
      <w:r>
        <w:t xml:space="preserve">A core function of any government involves collecting and disbursing public funds and maintaining records of such expenditures.  Budget execution reporting systems vary greatly in their organization, transparency, accuracy and level of detail.  For public finance practionaires, the ability to easily access and analyze public </w:t>
      </w:r>
      <w:r w:rsidR="00842919">
        <w:t xml:space="preserve">finance </w:t>
      </w:r>
      <w:r>
        <w:t xml:space="preserve">data is key to providing thorough and timely advice to policymakers and relevant stakeholders.  For government officials, rapid access to </w:t>
      </w:r>
      <w:r w:rsidR="00CD42E9">
        <w:t>comprehensive public finance information</w:t>
      </w:r>
      <w:r>
        <w:t xml:space="preserve"> in an easy-to-use format is essential</w:t>
      </w:r>
      <w:r w:rsidR="00CD42E9">
        <w:t xml:space="preserve"> for better decision-making. </w:t>
      </w:r>
    </w:p>
    <w:p w:rsidR="00FD36FC" w:rsidRDefault="00FD36FC" w:rsidP="00FD36FC">
      <w:pPr>
        <w:tabs>
          <w:tab w:val="left" w:pos="1440"/>
        </w:tabs>
        <w:jc w:val="both"/>
      </w:pPr>
    </w:p>
    <w:p w:rsidR="009926E0" w:rsidRDefault="00FD36FC" w:rsidP="00FD36FC">
      <w:pPr>
        <w:tabs>
          <w:tab w:val="left" w:pos="1440"/>
        </w:tabs>
        <w:jc w:val="both"/>
      </w:pPr>
      <w:r>
        <w:t xml:space="preserve">The purpose of the BOOST project (started by the World Bank in early 2010) is to enhance transparency and efficiency in public </w:t>
      </w:r>
      <w:r w:rsidR="00A03A72">
        <w:t>finance</w:t>
      </w:r>
      <w:r>
        <w:t xml:space="preserve"> management across the globe by improving access to </w:t>
      </w:r>
      <w:r w:rsidR="00A17210">
        <w:t>public finance data</w:t>
      </w:r>
      <w:r>
        <w:t xml:space="preserve"> and linking spending to relevant results.  As of </w:t>
      </w:r>
      <w:r w:rsidR="007A56C4">
        <w:t>October</w:t>
      </w:r>
      <w:r>
        <w:t xml:space="preserve"> 2018, the BOOST team has collected and processed detailed government expenditure</w:t>
      </w:r>
      <w:r w:rsidR="00CD42E9">
        <w:t xml:space="preserve"> and in some case</w:t>
      </w:r>
      <w:r w:rsidR="00B11704">
        <w:t>s</w:t>
      </w:r>
      <w:r w:rsidR="00CD42E9">
        <w:t xml:space="preserve"> revenue</w:t>
      </w:r>
      <w:r>
        <w:t xml:space="preserve"> data from more than 80 countries globally, including a dozen countries in the Europe and Central Asia (ECA) region of the World Bank, creating easy-to-use </w:t>
      </w:r>
      <w:r w:rsidR="00CD42E9">
        <w:t>databases</w:t>
      </w:r>
      <w:r>
        <w:t xml:space="preserve"> that have been employed by World Bank teams on a variety of projects.</w:t>
      </w:r>
    </w:p>
    <w:p w:rsidR="00FD36FC" w:rsidRDefault="00FD36FC" w:rsidP="00FD36FC">
      <w:pPr>
        <w:tabs>
          <w:tab w:val="left" w:pos="1440"/>
        </w:tabs>
        <w:jc w:val="both"/>
      </w:pPr>
    </w:p>
    <w:p w:rsidR="00BB584E" w:rsidRDefault="00CC30E1" w:rsidP="007526C8">
      <w:pPr>
        <w:tabs>
          <w:tab w:val="left" w:pos="1440"/>
        </w:tabs>
        <w:jc w:val="both"/>
      </w:pPr>
      <w:r>
        <w:t>In Moldova, the BOOST database has been constructed at the request of the Mi</w:t>
      </w:r>
      <w:r w:rsidR="00A03A72">
        <w:t>nister of Finance based on the detailed T</w:t>
      </w:r>
      <w:r>
        <w:t xml:space="preserve">reasury data provided to the World Bank </w:t>
      </w:r>
      <w:bookmarkStart w:id="1" w:name="_Hlk525986670"/>
      <w:r>
        <w:t xml:space="preserve">by </w:t>
      </w:r>
      <w:r w:rsidR="00BB584E">
        <w:t xml:space="preserve">the Center for Information Technologies in Finance (CTIF, which includes the reorganized state enterprise </w:t>
      </w:r>
      <w:r w:rsidR="00BB584E" w:rsidRPr="00BB584E">
        <w:t>Fintehinform</w:t>
      </w:r>
      <w:r w:rsidR="00BB584E">
        <w:t xml:space="preserve">). </w:t>
      </w:r>
      <w:bookmarkEnd w:id="1"/>
    </w:p>
    <w:p w:rsidR="00BB584E" w:rsidRDefault="00BB584E" w:rsidP="007526C8">
      <w:pPr>
        <w:tabs>
          <w:tab w:val="left" w:pos="1440"/>
        </w:tabs>
        <w:jc w:val="both"/>
      </w:pPr>
    </w:p>
    <w:p w:rsidR="00475FA8" w:rsidRDefault="007526C8" w:rsidP="00C83701">
      <w:pPr>
        <w:tabs>
          <w:tab w:val="left" w:pos="1440"/>
        </w:tabs>
        <w:jc w:val="both"/>
      </w:pPr>
      <w:r>
        <w:t xml:space="preserve">This technical manual is intended to provide users with the background information they require to understand the database structure as well as how to produce basic analysis with BOOST. </w:t>
      </w:r>
      <w:r w:rsidR="00C87011">
        <w:t xml:space="preserve">In particular, </w:t>
      </w:r>
      <w:r w:rsidR="00A174D7">
        <w:t>t</w:t>
      </w:r>
      <w:r w:rsidR="00C433E5">
        <w:t xml:space="preserve">he manual describes the </w:t>
      </w:r>
      <w:r w:rsidR="00475FA8">
        <w:t>revised</w:t>
      </w:r>
      <w:r w:rsidR="003C040E">
        <w:t xml:space="preserve"> </w:t>
      </w:r>
      <w:r w:rsidR="004E3C5C">
        <w:t xml:space="preserve">Moldova BOOST </w:t>
      </w:r>
      <w:r w:rsidR="00475FA8">
        <w:t xml:space="preserve">database </w:t>
      </w:r>
      <w:r w:rsidR="004E3C5C">
        <w:t>which follows</w:t>
      </w:r>
      <w:r w:rsidR="003C040E">
        <w:t xml:space="preserve"> the </w:t>
      </w:r>
      <w:r w:rsidR="00475FA8">
        <w:t>new</w:t>
      </w:r>
      <w:r w:rsidR="003C040E">
        <w:t xml:space="preserve"> budget classification system (effective </w:t>
      </w:r>
      <w:r w:rsidR="00475FA8">
        <w:t>as of 2016)</w:t>
      </w:r>
      <w:r w:rsidR="003C040E">
        <w:t xml:space="preserve"> </w:t>
      </w:r>
      <w:r w:rsidR="004E3C5C">
        <w:t xml:space="preserve">and </w:t>
      </w:r>
      <w:r w:rsidR="00475FA8">
        <w:t xml:space="preserve">how it compares to the </w:t>
      </w:r>
      <w:r w:rsidR="00C87011">
        <w:t xml:space="preserve">previous BOOST versions </w:t>
      </w:r>
      <w:r w:rsidR="00A174D7">
        <w:t xml:space="preserve">BOOST and the old budget classification system. </w:t>
      </w:r>
    </w:p>
    <w:p w:rsidR="00CC30E1" w:rsidRDefault="00CC30E1" w:rsidP="00C83701">
      <w:pPr>
        <w:tabs>
          <w:tab w:val="left" w:pos="1440"/>
        </w:tabs>
        <w:jc w:val="both"/>
        <w:rPr>
          <w:lang w:eastAsia="zh-TW"/>
        </w:rPr>
      </w:pPr>
      <w:r>
        <w:t>For help with is</w:t>
      </w:r>
      <w:r w:rsidR="00C83701">
        <w:t>sues that are not addressed in the manual</w:t>
      </w:r>
      <w:r>
        <w:t xml:space="preserve">, please contact </w:t>
      </w:r>
      <w:r w:rsidR="001F4B78">
        <w:t>the</w:t>
      </w:r>
      <w:r w:rsidR="00E914B2">
        <w:t xml:space="preserve"> </w:t>
      </w:r>
      <w:r w:rsidR="00C87011">
        <w:t xml:space="preserve">World Bank </w:t>
      </w:r>
      <w:r w:rsidR="001F4B78">
        <w:t>BOOST team</w:t>
      </w:r>
      <w:r w:rsidR="00F91EEE">
        <w:t xml:space="preserve">. </w:t>
      </w:r>
    </w:p>
    <w:p w:rsidR="00CC30E1" w:rsidRDefault="00CC30E1" w:rsidP="00037AE4">
      <w:pPr>
        <w:tabs>
          <w:tab w:val="left" w:pos="1440"/>
        </w:tabs>
        <w:jc w:val="both"/>
      </w:pPr>
    </w:p>
    <w:p w:rsidR="00CC30E1" w:rsidRPr="0092527D" w:rsidRDefault="00CC30E1" w:rsidP="00037AE4">
      <w:pPr>
        <w:tabs>
          <w:tab w:val="left" w:pos="1440"/>
        </w:tabs>
        <w:jc w:val="both"/>
      </w:pPr>
      <w:r>
        <w:t>This document is organized into the following sections:</w:t>
      </w:r>
    </w:p>
    <w:p w:rsidR="001E3919" w:rsidRDefault="001E3919" w:rsidP="00037AE4">
      <w:pPr>
        <w:jc w:val="both"/>
      </w:pPr>
    </w:p>
    <w:p w:rsidR="00F3347A" w:rsidRDefault="00CC30E1" w:rsidP="00037AE4">
      <w:pPr>
        <w:jc w:val="both"/>
      </w:pPr>
      <w:r>
        <w:tab/>
        <w:t>Part II outlines the Moldovan budget structure;</w:t>
      </w:r>
    </w:p>
    <w:p w:rsidR="00CC30E1" w:rsidRDefault="00CC30E1" w:rsidP="00037AE4">
      <w:pPr>
        <w:jc w:val="both"/>
      </w:pPr>
      <w:r>
        <w:tab/>
        <w:t>Part III presents the organization of the database;</w:t>
      </w:r>
    </w:p>
    <w:p w:rsidR="00D43485" w:rsidRDefault="00CC30E1" w:rsidP="00037AE4">
      <w:pPr>
        <w:jc w:val="both"/>
      </w:pPr>
      <w:r>
        <w:tab/>
        <w:t>Part IV provides examples of how to use BOOST through the Excel PivotTable</w:t>
      </w:r>
      <w:r w:rsidR="00D43485">
        <w:t xml:space="preserve"> interface;</w:t>
      </w:r>
    </w:p>
    <w:p w:rsidR="00CC30E1" w:rsidRDefault="00E914B2" w:rsidP="00D23067">
      <w:pPr>
        <w:ind w:left="708"/>
        <w:jc w:val="both"/>
      </w:pPr>
      <w:r>
        <w:t>The a</w:t>
      </w:r>
      <w:r w:rsidR="00CC30E1">
        <w:t xml:space="preserve">ppendix contains the budget classification </w:t>
      </w:r>
      <w:r w:rsidR="002504F9">
        <w:t xml:space="preserve">codes </w:t>
      </w:r>
      <w:r w:rsidR="00D23067">
        <w:t xml:space="preserve">used in BOOST, as well as the bridge tables used to harmonize the old </w:t>
      </w:r>
      <w:r w:rsidR="007B0D78">
        <w:t xml:space="preserve">and new budget classification structures. </w:t>
      </w:r>
    </w:p>
    <w:p w:rsidR="00CC30E1" w:rsidRDefault="00CC30E1" w:rsidP="00037AE4">
      <w:pPr>
        <w:jc w:val="both"/>
      </w:pPr>
    </w:p>
    <w:p w:rsidR="00CC30E1" w:rsidRDefault="006A0358" w:rsidP="00037AE4">
      <w:pPr>
        <w:jc w:val="both"/>
      </w:pPr>
      <w:r>
        <w:t xml:space="preserve">The BOOST team would like to thank </w:t>
      </w:r>
      <w:r w:rsidR="0057247D">
        <w:t xml:space="preserve">staff at the Ministry of Finance and </w:t>
      </w:r>
      <w:r w:rsidR="005426C5">
        <w:t>CTIF</w:t>
      </w:r>
      <w:r w:rsidR="0057247D">
        <w:t>, as well as the growing BOOST user community of researchers and policymakers who continues</w:t>
      </w:r>
      <w:r w:rsidR="003639B7">
        <w:t xml:space="preserve"> to provide useful feedback as this project strives to grow and improve.  We </w:t>
      </w:r>
      <w:r w:rsidR="00CC30E1">
        <w:t xml:space="preserve">hope </w:t>
      </w:r>
      <w:r>
        <w:t xml:space="preserve">that </w:t>
      </w:r>
      <w:r w:rsidR="009B6F55">
        <w:t xml:space="preserve">this tool is helpful in opening new avenues for analysis and providing answers to important questions regarding the efficiency, equity, and effectiveness of </w:t>
      </w:r>
      <w:r w:rsidR="005426C5">
        <w:t xml:space="preserve">public finances. </w:t>
      </w:r>
    </w:p>
    <w:p w:rsidR="001F4B78" w:rsidRDefault="001F4B78" w:rsidP="00037AE4">
      <w:pPr>
        <w:jc w:val="both"/>
      </w:pPr>
    </w:p>
    <w:p w:rsidR="001F4B78" w:rsidRPr="00FE233C" w:rsidRDefault="001F4B78" w:rsidP="00037AE4">
      <w:pPr>
        <w:jc w:val="both"/>
      </w:pPr>
    </w:p>
    <w:p w:rsidR="001F4B78" w:rsidRDefault="001F4B78" w:rsidP="001F4B78">
      <w:pPr>
        <w:jc w:val="both"/>
        <w:sectPr w:rsidR="001F4B78" w:rsidSect="00026BBE">
          <w:pgSz w:w="12240" w:h="15840"/>
          <w:pgMar w:top="1440" w:right="1440" w:bottom="1440" w:left="1440" w:header="708" w:footer="708" w:gutter="0"/>
          <w:cols w:space="708"/>
          <w:docGrid w:linePitch="360"/>
        </w:sectPr>
      </w:pPr>
    </w:p>
    <w:p w:rsidR="003E0CA1" w:rsidRPr="00AA70B4" w:rsidRDefault="00F85959" w:rsidP="00AA70B4">
      <w:pPr>
        <w:pStyle w:val="Heading1"/>
        <w:jc w:val="center"/>
        <w:rPr>
          <w:color w:val="000000" w:themeColor="text1"/>
          <w:u w:val="single"/>
        </w:rPr>
      </w:pPr>
      <w:bookmarkStart w:id="2" w:name="_Toc525924312"/>
      <w:r>
        <w:rPr>
          <w:color w:val="000000" w:themeColor="text1"/>
          <w:u w:val="single"/>
        </w:rPr>
        <w:lastRenderedPageBreak/>
        <w:t xml:space="preserve">The </w:t>
      </w:r>
      <w:r w:rsidR="003E0CA1" w:rsidRPr="00AA70B4">
        <w:rPr>
          <w:color w:val="000000" w:themeColor="text1"/>
          <w:u w:val="single"/>
        </w:rPr>
        <w:t>Moldova BOOST at a Glance</w:t>
      </w:r>
      <w:bookmarkEnd w:id="2"/>
      <w:r w:rsidR="003E0CA1" w:rsidRPr="00AA70B4">
        <w:rPr>
          <w:color w:val="000000" w:themeColor="text1"/>
          <w:u w:val="single"/>
        </w:rPr>
        <w:t xml:space="preserve"> </w:t>
      </w:r>
    </w:p>
    <w:p w:rsidR="003E0CA1" w:rsidRPr="003E0CA1" w:rsidRDefault="003E0CA1" w:rsidP="003E0CA1"/>
    <w:p w:rsidR="003E0CA1" w:rsidRPr="003E0CA1" w:rsidRDefault="003E0CA1" w:rsidP="003E0CA1"/>
    <w:tbl>
      <w:tblPr>
        <w:tblW w:w="9381" w:type="dxa"/>
        <w:tblInd w:w="87" w:type="dxa"/>
        <w:tblLook w:val="04A0" w:firstRow="1" w:lastRow="0" w:firstColumn="1" w:lastColumn="0" w:noHBand="0" w:noVBand="1"/>
      </w:tblPr>
      <w:tblGrid>
        <w:gridCol w:w="1731"/>
        <w:gridCol w:w="2880"/>
        <w:gridCol w:w="4770"/>
      </w:tblGrid>
      <w:tr w:rsidR="003E0CA1" w:rsidRPr="003E0CA1" w:rsidTr="003E0CA1">
        <w:trPr>
          <w:trHeight w:val="492"/>
        </w:trPr>
        <w:tc>
          <w:tcPr>
            <w:tcW w:w="46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Country</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3E0CA1" w:rsidP="003E0CA1">
            <w:pPr>
              <w:rPr>
                <w:rFonts w:eastAsia="Times New Roman"/>
                <w:color w:val="000000"/>
              </w:rPr>
            </w:pPr>
            <w:r w:rsidRPr="003E0CA1">
              <w:rPr>
                <w:rFonts w:eastAsia="Times New Roman"/>
                <w:color w:val="000000"/>
              </w:rPr>
              <w:t>Moldova</w:t>
            </w:r>
          </w:p>
        </w:tc>
      </w:tr>
      <w:tr w:rsidR="003E0CA1" w:rsidRPr="003E0CA1" w:rsidTr="003E0CA1">
        <w:trPr>
          <w:trHeight w:val="492"/>
        </w:trPr>
        <w:tc>
          <w:tcPr>
            <w:tcW w:w="46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Period</w:t>
            </w:r>
          </w:p>
        </w:tc>
        <w:tc>
          <w:tcPr>
            <w:tcW w:w="4770" w:type="dxa"/>
            <w:tcBorders>
              <w:top w:val="nil"/>
              <w:left w:val="nil"/>
              <w:bottom w:val="single" w:sz="4" w:space="0" w:color="auto"/>
              <w:right w:val="single" w:sz="4" w:space="0" w:color="auto"/>
            </w:tcBorders>
            <w:shd w:val="clear" w:color="auto" w:fill="auto"/>
            <w:noWrap/>
            <w:vAlign w:val="center"/>
            <w:hideMark/>
          </w:tcPr>
          <w:p w:rsidR="003E0CA1" w:rsidRPr="003E0CA1" w:rsidRDefault="0023507B" w:rsidP="003E0CA1">
            <w:pPr>
              <w:rPr>
                <w:rFonts w:eastAsia="Times New Roman"/>
                <w:color w:val="000000"/>
              </w:rPr>
            </w:pPr>
            <w:r>
              <w:rPr>
                <w:rFonts w:eastAsia="Times New Roman"/>
                <w:color w:val="000000"/>
              </w:rPr>
              <w:t>2010</w:t>
            </w:r>
            <w:r w:rsidR="00257D86">
              <w:rPr>
                <w:rFonts w:eastAsia="Times New Roman"/>
                <w:color w:val="000000"/>
              </w:rPr>
              <w:t>-2017</w:t>
            </w:r>
          </w:p>
        </w:tc>
      </w:tr>
      <w:tr w:rsidR="003E0CA1" w:rsidRPr="003E0CA1" w:rsidTr="003E0CA1">
        <w:trPr>
          <w:trHeight w:val="492"/>
        </w:trPr>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Coverage</w:t>
            </w:r>
          </w:p>
        </w:tc>
        <w:tc>
          <w:tcPr>
            <w:tcW w:w="2880" w:type="dxa"/>
            <w:tcBorders>
              <w:top w:val="nil"/>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Level of government</w:t>
            </w:r>
          </w:p>
        </w:tc>
        <w:tc>
          <w:tcPr>
            <w:tcW w:w="4770" w:type="dxa"/>
            <w:tcBorders>
              <w:top w:val="nil"/>
              <w:left w:val="nil"/>
              <w:bottom w:val="single" w:sz="4" w:space="0" w:color="auto"/>
              <w:right w:val="single" w:sz="4" w:space="0" w:color="auto"/>
            </w:tcBorders>
            <w:shd w:val="clear" w:color="auto" w:fill="auto"/>
            <w:noWrap/>
            <w:vAlign w:val="center"/>
            <w:hideMark/>
          </w:tcPr>
          <w:p w:rsidR="003E0CA1" w:rsidRPr="003E0CA1" w:rsidRDefault="003E0CA1" w:rsidP="003E0CA1">
            <w:pPr>
              <w:rPr>
                <w:rFonts w:eastAsia="Times New Roman"/>
                <w:color w:val="000000"/>
              </w:rPr>
            </w:pPr>
            <w:r w:rsidRPr="003E0CA1">
              <w:rPr>
                <w:rFonts w:eastAsia="Times New Roman"/>
                <w:color w:val="000000"/>
              </w:rPr>
              <w:t xml:space="preserve">General Government </w:t>
            </w:r>
          </w:p>
        </w:tc>
      </w:tr>
      <w:tr w:rsidR="003E0CA1" w:rsidRPr="003E0CA1" w:rsidTr="003E0CA1">
        <w:trPr>
          <w:trHeight w:val="492"/>
        </w:trPr>
        <w:tc>
          <w:tcPr>
            <w:tcW w:w="1731" w:type="dxa"/>
            <w:vMerge/>
            <w:tcBorders>
              <w:top w:val="nil"/>
              <w:left w:val="single" w:sz="4" w:space="0" w:color="auto"/>
              <w:bottom w:val="single" w:sz="4" w:space="0" w:color="auto"/>
              <w:right w:val="single" w:sz="4" w:space="0" w:color="auto"/>
            </w:tcBorders>
            <w:vAlign w:val="center"/>
            <w:hideMark/>
          </w:tcPr>
          <w:p w:rsidR="003E0CA1" w:rsidRPr="00AA70B4" w:rsidRDefault="003E0CA1" w:rsidP="003E0CA1">
            <w:pPr>
              <w:rPr>
                <w:rFonts w:eastAsia="Times New Roman"/>
                <w:b/>
                <w:bCs/>
                <w:i/>
                <w:iCs/>
              </w:rPr>
            </w:pPr>
          </w:p>
        </w:tc>
        <w:tc>
          <w:tcPr>
            <w:tcW w:w="2880" w:type="dxa"/>
            <w:tcBorders>
              <w:top w:val="nil"/>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Extrabudgetary funds</w:t>
            </w:r>
          </w:p>
        </w:tc>
        <w:tc>
          <w:tcPr>
            <w:tcW w:w="4770" w:type="dxa"/>
            <w:tcBorders>
              <w:top w:val="nil"/>
              <w:left w:val="nil"/>
              <w:bottom w:val="single" w:sz="4" w:space="0" w:color="auto"/>
              <w:right w:val="single" w:sz="4" w:space="0" w:color="auto"/>
            </w:tcBorders>
            <w:shd w:val="clear" w:color="auto" w:fill="auto"/>
            <w:noWrap/>
            <w:vAlign w:val="center"/>
            <w:hideMark/>
          </w:tcPr>
          <w:p w:rsidR="003E0CA1" w:rsidRPr="00AA70B4" w:rsidRDefault="00FB323A" w:rsidP="00AA70B4">
            <w:pPr>
              <w:pStyle w:val="ListParagraph"/>
              <w:numPr>
                <w:ilvl w:val="0"/>
                <w:numId w:val="14"/>
              </w:numPr>
              <w:rPr>
                <w:rFonts w:eastAsia="Times New Roman"/>
                <w:color w:val="000000"/>
              </w:rPr>
            </w:pPr>
            <w:r>
              <w:rPr>
                <w:rFonts w:eastAsia="Times New Roman"/>
                <w:color w:val="000000"/>
              </w:rPr>
              <w:t>State Social Insurance Fund</w:t>
            </w:r>
          </w:p>
          <w:p w:rsidR="003E0CA1" w:rsidRPr="00AA70B4" w:rsidRDefault="003E0CA1" w:rsidP="00AA70B4">
            <w:pPr>
              <w:pStyle w:val="ListParagraph"/>
              <w:numPr>
                <w:ilvl w:val="0"/>
                <w:numId w:val="14"/>
              </w:numPr>
              <w:rPr>
                <w:rFonts w:eastAsia="Times New Roman"/>
                <w:color w:val="000000"/>
              </w:rPr>
            </w:pPr>
            <w:r w:rsidRPr="00AA70B4">
              <w:rPr>
                <w:rFonts w:eastAsia="Times New Roman"/>
                <w:color w:val="000000"/>
              </w:rPr>
              <w:t>Mandatory Health Insurance Fun</w:t>
            </w:r>
            <w:r w:rsidR="00C11D94" w:rsidRPr="00AA70B4">
              <w:rPr>
                <w:rFonts w:eastAsia="Times New Roman"/>
                <w:color w:val="000000"/>
              </w:rPr>
              <w:t>d</w:t>
            </w:r>
          </w:p>
        </w:tc>
      </w:tr>
      <w:tr w:rsidR="003E0CA1" w:rsidRPr="003E0CA1" w:rsidTr="003E0CA1">
        <w:trPr>
          <w:trHeight w:val="492"/>
        </w:trPr>
        <w:tc>
          <w:tcPr>
            <w:tcW w:w="1731" w:type="dxa"/>
            <w:vMerge/>
            <w:tcBorders>
              <w:top w:val="nil"/>
              <w:left w:val="single" w:sz="4" w:space="0" w:color="auto"/>
              <w:bottom w:val="single" w:sz="4" w:space="0" w:color="auto"/>
              <w:right w:val="single" w:sz="4" w:space="0" w:color="auto"/>
            </w:tcBorders>
            <w:vAlign w:val="center"/>
            <w:hideMark/>
          </w:tcPr>
          <w:p w:rsidR="003E0CA1" w:rsidRPr="00AA70B4" w:rsidRDefault="003E0CA1" w:rsidP="003E0CA1">
            <w:pPr>
              <w:rPr>
                <w:rFonts w:eastAsia="Times New Roman"/>
                <w:b/>
                <w:bCs/>
                <w:i/>
                <w:iCs/>
              </w:rPr>
            </w:pPr>
          </w:p>
        </w:tc>
        <w:tc>
          <w:tcPr>
            <w:tcW w:w="2880" w:type="dxa"/>
            <w:tcBorders>
              <w:top w:val="nil"/>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Sectors</w:t>
            </w:r>
          </w:p>
        </w:tc>
        <w:tc>
          <w:tcPr>
            <w:tcW w:w="4770" w:type="dxa"/>
            <w:tcBorders>
              <w:top w:val="nil"/>
              <w:left w:val="nil"/>
              <w:bottom w:val="single" w:sz="4" w:space="0" w:color="auto"/>
              <w:right w:val="single" w:sz="4" w:space="0" w:color="auto"/>
            </w:tcBorders>
            <w:shd w:val="clear" w:color="auto" w:fill="auto"/>
            <w:noWrap/>
            <w:vAlign w:val="center"/>
            <w:hideMark/>
          </w:tcPr>
          <w:p w:rsidR="003E0CA1" w:rsidRPr="003E0CA1" w:rsidRDefault="003E0CA1" w:rsidP="003E0CA1">
            <w:pPr>
              <w:rPr>
                <w:rFonts w:eastAsia="Times New Roman"/>
                <w:color w:val="000000"/>
              </w:rPr>
            </w:pPr>
            <w:r w:rsidRPr="003E0CA1">
              <w:rPr>
                <w:rFonts w:eastAsia="Times New Roman"/>
                <w:color w:val="000000"/>
              </w:rPr>
              <w:t>All</w:t>
            </w:r>
          </w:p>
        </w:tc>
      </w:tr>
      <w:tr w:rsidR="003E0CA1" w:rsidRPr="003E0CA1" w:rsidTr="003E0CA1">
        <w:trPr>
          <w:trHeight w:val="933"/>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Administrative classification</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Central</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3E0CA1" w:rsidP="003E0CA1">
            <w:pPr>
              <w:pStyle w:val="ListParagraph"/>
              <w:numPr>
                <w:ilvl w:val="0"/>
                <w:numId w:val="12"/>
              </w:numPr>
              <w:rPr>
                <w:rFonts w:eastAsia="Times New Roman"/>
                <w:color w:val="000000"/>
              </w:rPr>
            </w:pPr>
            <w:r w:rsidRPr="003E0CA1">
              <w:rPr>
                <w:rFonts w:eastAsia="Times New Roman"/>
                <w:color w:val="000000"/>
              </w:rPr>
              <w:t xml:space="preserve">Line ministries and other </w:t>
            </w:r>
            <w:r w:rsidR="007B6720">
              <w:rPr>
                <w:rFonts w:eastAsia="Times New Roman"/>
                <w:color w:val="000000"/>
              </w:rPr>
              <w:t xml:space="preserve">top-level </w:t>
            </w:r>
            <w:r w:rsidRPr="003E0CA1">
              <w:rPr>
                <w:rFonts w:eastAsia="Times New Roman"/>
                <w:color w:val="000000"/>
              </w:rPr>
              <w:t xml:space="preserve">central gov. institutions </w:t>
            </w:r>
          </w:p>
          <w:p w:rsidR="003E0CA1" w:rsidRPr="003E0CA1" w:rsidRDefault="00D6121C" w:rsidP="003E0CA1">
            <w:pPr>
              <w:pStyle w:val="ListParagraph"/>
              <w:numPr>
                <w:ilvl w:val="0"/>
                <w:numId w:val="12"/>
              </w:numPr>
              <w:rPr>
                <w:rFonts w:eastAsia="Times New Roman"/>
                <w:color w:val="000000"/>
              </w:rPr>
            </w:pPr>
            <w:r>
              <w:rPr>
                <w:rFonts w:eastAsia="Times New Roman"/>
                <w:color w:val="000000"/>
              </w:rPr>
              <w:t>Subordinate</w:t>
            </w:r>
            <w:r w:rsidR="003E0CA1" w:rsidRPr="003E0CA1">
              <w:rPr>
                <w:rFonts w:eastAsia="Times New Roman"/>
                <w:color w:val="000000"/>
              </w:rPr>
              <w:t xml:space="preserve"> budget organizations</w:t>
            </w:r>
          </w:p>
        </w:tc>
      </w:tr>
      <w:tr w:rsidR="003E0CA1" w:rsidRPr="003E0CA1" w:rsidTr="003E0CA1">
        <w:trPr>
          <w:trHeight w:val="957"/>
        </w:trPr>
        <w:tc>
          <w:tcPr>
            <w:tcW w:w="1731" w:type="dxa"/>
            <w:vMerge/>
            <w:tcBorders>
              <w:top w:val="single" w:sz="4" w:space="0" w:color="auto"/>
              <w:left w:val="single" w:sz="4" w:space="0" w:color="auto"/>
              <w:bottom w:val="single" w:sz="4" w:space="0" w:color="auto"/>
              <w:right w:val="single" w:sz="4" w:space="0" w:color="auto"/>
            </w:tcBorders>
            <w:vAlign w:val="center"/>
            <w:hideMark/>
          </w:tcPr>
          <w:p w:rsidR="003E0CA1" w:rsidRPr="00AA70B4" w:rsidRDefault="003E0CA1" w:rsidP="003E0CA1">
            <w:pPr>
              <w:rPr>
                <w:rFonts w:eastAsia="Times New Roman"/>
                <w:b/>
                <w:bCs/>
                <w:i/>
                <w:iCs/>
              </w:rPr>
            </w:pP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3E0CA1">
            <w:pPr>
              <w:rPr>
                <w:rFonts w:eastAsia="Times New Roman"/>
                <w:b/>
                <w:bCs/>
                <w:i/>
                <w:iCs/>
              </w:rPr>
            </w:pPr>
            <w:r w:rsidRPr="00AA70B4">
              <w:rPr>
                <w:rFonts w:eastAsia="Times New Roman"/>
                <w:b/>
                <w:bCs/>
                <w:i/>
                <w:iCs/>
              </w:rPr>
              <w:t xml:space="preserve">Local </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7B6720" w:rsidP="003E0CA1">
            <w:pPr>
              <w:pStyle w:val="ListParagraph"/>
              <w:numPr>
                <w:ilvl w:val="0"/>
                <w:numId w:val="13"/>
              </w:numPr>
              <w:rPr>
                <w:rFonts w:eastAsia="Times New Roman"/>
                <w:color w:val="000000"/>
              </w:rPr>
            </w:pPr>
            <w:r>
              <w:rPr>
                <w:rFonts w:eastAsia="Times New Roman"/>
                <w:color w:val="000000"/>
              </w:rPr>
              <w:t>Districts</w:t>
            </w:r>
            <w:r w:rsidR="003E0CA1" w:rsidRPr="003E0CA1">
              <w:rPr>
                <w:rFonts w:eastAsia="Times New Roman"/>
                <w:color w:val="000000"/>
              </w:rPr>
              <w:t xml:space="preserve">  (35)  </w:t>
            </w:r>
          </w:p>
          <w:p w:rsidR="003E0CA1" w:rsidRPr="003E0CA1" w:rsidRDefault="007B6720" w:rsidP="003E0CA1">
            <w:pPr>
              <w:pStyle w:val="ListParagraph"/>
              <w:numPr>
                <w:ilvl w:val="0"/>
                <w:numId w:val="13"/>
              </w:numPr>
              <w:rPr>
                <w:rFonts w:eastAsia="Times New Roman"/>
                <w:color w:val="000000"/>
              </w:rPr>
            </w:pPr>
            <w:r>
              <w:rPr>
                <w:rFonts w:eastAsia="Times New Roman"/>
                <w:color w:val="000000"/>
              </w:rPr>
              <w:t>Mayoralities/p</w:t>
            </w:r>
            <w:r w:rsidR="003E0CA1" w:rsidRPr="003E0CA1">
              <w:rPr>
                <w:rFonts w:eastAsia="Times New Roman"/>
                <w:color w:val="000000"/>
              </w:rPr>
              <w:t>rimaria</w:t>
            </w:r>
            <w:r w:rsidR="00E6581E">
              <w:rPr>
                <w:rFonts w:eastAsia="Times New Roman"/>
                <w:color w:val="000000"/>
              </w:rPr>
              <w:t>s</w:t>
            </w:r>
            <w:r w:rsidR="003E0CA1" w:rsidRPr="003E0CA1">
              <w:rPr>
                <w:rFonts w:eastAsia="Times New Roman"/>
                <w:color w:val="000000"/>
              </w:rPr>
              <w:t xml:space="preserve">  (934)                              </w:t>
            </w:r>
          </w:p>
          <w:p w:rsidR="003E0CA1" w:rsidRPr="003E0CA1" w:rsidRDefault="003E0CA1" w:rsidP="003E0CA1">
            <w:pPr>
              <w:pStyle w:val="ListParagraph"/>
              <w:numPr>
                <w:ilvl w:val="0"/>
                <w:numId w:val="13"/>
              </w:numPr>
              <w:rPr>
                <w:rFonts w:eastAsia="Times New Roman"/>
                <w:color w:val="000000"/>
              </w:rPr>
            </w:pPr>
            <w:r w:rsidRPr="003E0CA1">
              <w:rPr>
                <w:rFonts w:eastAsia="Times New Roman"/>
                <w:color w:val="000000"/>
              </w:rPr>
              <w:t>Local budget organizations</w:t>
            </w:r>
          </w:p>
        </w:tc>
      </w:tr>
      <w:tr w:rsidR="003E0CA1" w:rsidRPr="003E0CA1" w:rsidTr="003E0CA1">
        <w:trPr>
          <w:trHeight w:val="492"/>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Functional classification</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COFOG-compatible</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973E54" w:rsidP="003E0CA1">
            <w:pPr>
              <w:rPr>
                <w:rFonts w:eastAsia="Times New Roman"/>
                <w:color w:val="000000"/>
              </w:rPr>
            </w:pPr>
            <w:r>
              <w:rPr>
                <w:rFonts w:eastAsia="Times New Roman"/>
                <w:color w:val="000000"/>
              </w:rPr>
              <w:t>Yes</w:t>
            </w:r>
          </w:p>
        </w:tc>
      </w:tr>
      <w:tr w:rsidR="003E0CA1" w:rsidRPr="003E0CA1" w:rsidTr="003E0CA1">
        <w:trPr>
          <w:trHeight w:val="492"/>
        </w:trPr>
        <w:tc>
          <w:tcPr>
            <w:tcW w:w="1731" w:type="dxa"/>
            <w:vMerge/>
            <w:tcBorders>
              <w:top w:val="single" w:sz="4" w:space="0" w:color="auto"/>
              <w:left w:val="single" w:sz="4" w:space="0" w:color="auto"/>
              <w:bottom w:val="single" w:sz="4" w:space="0" w:color="auto"/>
              <w:right w:val="single" w:sz="4" w:space="0" w:color="auto"/>
            </w:tcBorders>
            <w:vAlign w:val="center"/>
            <w:hideMark/>
          </w:tcPr>
          <w:p w:rsidR="003E0CA1" w:rsidRPr="00AA70B4" w:rsidRDefault="003E0CA1" w:rsidP="003E0CA1">
            <w:pPr>
              <w:rPr>
                <w:rFonts w:eastAsia="Times New Roman"/>
                <w:b/>
                <w:bCs/>
                <w:i/>
                <w:iCs/>
              </w:rPr>
            </w:pP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6B663A" w:rsidP="003E0CA1">
            <w:pPr>
              <w:rPr>
                <w:rFonts w:eastAsia="Times New Roman"/>
                <w:b/>
                <w:bCs/>
                <w:i/>
                <w:iCs/>
              </w:rPr>
            </w:pPr>
            <w:r w:rsidRPr="00AA70B4">
              <w:rPr>
                <w:rFonts w:eastAsia="Times New Roman"/>
                <w:b/>
                <w:bCs/>
                <w:i/>
                <w:iCs/>
              </w:rPr>
              <w:t>Sub functions</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E6581E" w:rsidP="003E0CA1">
            <w:pPr>
              <w:rPr>
                <w:rFonts w:eastAsia="Times New Roman"/>
                <w:color w:val="000000"/>
              </w:rPr>
            </w:pPr>
            <w:r>
              <w:rPr>
                <w:rFonts w:eastAsia="Times New Roman"/>
                <w:color w:val="000000"/>
              </w:rPr>
              <w:t>Available</w:t>
            </w:r>
            <w:r w:rsidR="003E0CA1" w:rsidRPr="003E0CA1">
              <w:rPr>
                <w:rFonts w:eastAsia="Times New Roman"/>
                <w:color w:val="000000"/>
              </w:rPr>
              <w:t xml:space="preserve">, </w:t>
            </w:r>
            <w:r w:rsidR="00DD52EC">
              <w:rPr>
                <w:rFonts w:eastAsia="Times New Roman"/>
                <w:color w:val="000000"/>
              </w:rPr>
              <w:t>2 levels</w:t>
            </w:r>
          </w:p>
        </w:tc>
      </w:tr>
      <w:tr w:rsidR="003E0CA1" w:rsidRPr="003E0CA1" w:rsidTr="003E0CA1">
        <w:trPr>
          <w:trHeight w:val="492"/>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Economic classification</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GFS-compatible</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973E54" w:rsidP="003E0CA1">
            <w:pPr>
              <w:rPr>
                <w:rFonts w:eastAsia="Times New Roman"/>
                <w:color w:val="000000"/>
              </w:rPr>
            </w:pPr>
            <w:r>
              <w:rPr>
                <w:rFonts w:eastAsia="Times New Roman"/>
                <w:color w:val="000000"/>
              </w:rPr>
              <w:t>Yes, GFS 2001</w:t>
            </w:r>
          </w:p>
        </w:tc>
      </w:tr>
      <w:tr w:rsidR="003E0CA1" w:rsidRPr="003E0CA1" w:rsidTr="003E0CA1">
        <w:trPr>
          <w:trHeight w:val="492"/>
        </w:trPr>
        <w:tc>
          <w:tcPr>
            <w:tcW w:w="1731" w:type="dxa"/>
            <w:vMerge/>
            <w:tcBorders>
              <w:top w:val="single" w:sz="4" w:space="0" w:color="auto"/>
              <w:left w:val="single" w:sz="4" w:space="0" w:color="auto"/>
              <w:bottom w:val="single" w:sz="4" w:space="0" w:color="auto"/>
              <w:right w:val="single" w:sz="4" w:space="0" w:color="auto"/>
            </w:tcBorders>
            <w:vAlign w:val="center"/>
            <w:hideMark/>
          </w:tcPr>
          <w:p w:rsidR="003E0CA1" w:rsidRPr="00AA70B4" w:rsidRDefault="003E0CA1" w:rsidP="003E0CA1">
            <w:pPr>
              <w:rPr>
                <w:rFonts w:eastAsia="Times New Roman"/>
                <w:b/>
                <w:bCs/>
                <w:i/>
                <w:iCs/>
              </w:rPr>
            </w:pP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Sub</w:t>
            </w:r>
            <w:r w:rsidR="00F85959" w:rsidRPr="00AA70B4">
              <w:rPr>
                <w:rFonts w:eastAsia="Times New Roman"/>
                <w:b/>
                <w:bCs/>
                <w:i/>
                <w:iCs/>
              </w:rPr>
              <w:t>categories</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E6581E" w:rsidP="003E0CA1">
            <w:pPr>
              <w:rPr>
                <w:rFonts w:eastAsia="Times New Roman"/>
                <w:color w:val="000000"/>
              </w:rPr>
            </w:pPr>
            <w:r>
              <w:rPr>
                <w:rFonts w:eastAsia="Times New Roman"/>
                <w:color w:val="000000"/>
              </w:rPr>
              <w:t>Available</w:t>
            </w:r>
            <w:r w:rsidR="003E0CA1" w:rsidRPr="003E0CA1">
              <w:rPr>
                <w:rFonts w:eastAsia="Times New Roman"/>
                <w:color w:val="000000"/>
              </w:rPr>
              <w:t xml:space="preserve">, </w:t>
            </w:r>
            <w:r w:rsidR="000E0F93">
              <w:rPr>
                <w:rFonts w:eastAsia="Times New Roman"/>
                <w:color w:val="000000"/>
              </w:rPr>
              <w:t>5</w:t>
            </w:r>
            <w:r w:rsidR="003E0CA1" w:rsidRPr="003E0CA1">
              <w:rPr>
                <w:rFonts w:eastAsia="Times New Roman"/>
                <w:color w:val="000000"/>
              </w:rPr>
              <w:t xml:space="preserve"> level</w:t>
            </w:r>
            <w:r w:rsidR="000E0F93">
              <w:rPr>
                <w:rFonts w:eastAsia="Times New Roman"/>
                <w:color w:val="000000"/>
              </w:rPr>
              <w:t>s</w:t>
            </w:r>
          </w:p>
        </w:tc>
      </w:tr>
      <w:tr w:rsidR="003E0CA1" w:rsidRPr="003E0CA1" w:rsidTr="003E0CA1">
        <w:trPr>
          <w:trHeight w:val="492"/>
        </w:trPr>
        <w:tc>
          <w:tcPr>
            <w:tcW w:w="46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CA1" w:rsidRPr="00AA70B4" w:rsidRDefault="003E0CA1" w:rsidP="003E0CA1">
            <w:pPr>
              <w:rPr>
                <w:rFonts w:eastAsia="Times New Roman"/>
                <w:b/>
                <w:bCs/>
                <w:i/>
                <w:iCs/>
              </w:rPr>
            </w:pPr>
            <w:r w:rsidRPr="00AA70B4">
              <w:rPr>
                <w:rFonts w:eastAsia="Times New Roman"/>
                <w:b/>
                <w:bCs/>
                <w:i/>
                <w:iCs/>
              </w:rPr>
              <w:t>Program</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E0CA1" w:rsidRPr="003E0CA1" w:rsidRDefault="00E6581E" w:rsidP="003E0CA1">
            <w:pPr>
              <w:rPr>
                <w:rFonts w:eastAsia="Times New Roman"/>
                <w:color w:val="000000"/>
              </w:rPr>
            </w:pPr>
            <w:r>
              <w:rPr>
                <w:rFonts w:eastAsia="Times New Roman"/>
                <w:color w:val="000000"/>
              </w:rPr>
              <w:t>Available</w:t>
            </w:r>
            <w:r w:rsidR="000E0F93">
              <w:rPr>
                <w:rFonts w:eastAsia="Times New Roman"/>
                <w:color w:val="000000"/>
              </w:rPr>
              <w:t>, 2</w:t>
            </w:r>
            <w:r w:rsidR="003E0CA1" w:rsidRPr="003E0CA1">
              <w:rPr>
                <w:rFonts w:eastAsia="Times New Roman"/>
                <w:color w:val="000000"/>
              </w:rPr>
              <w:t xml:space="preserve"> levels</w:t>
            </w:r>
          </w:p>
        </w:tc>
      </w:tr>
      <w:tr w:rsidR="009408D3" w:rsidRPr="003E0CA1" w:rsidTr="003E0CA1">
        <w:trPr>
          <w:trHeight w:val="492"/>
        </w:trPr>
        <w:tc>
          <w:tcPr>
            <w:tcW w:w="46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408D3" w:rsidRPr="00AA70B4" w:rsidRDefault="009408D3" w:rsidP="003E0CA1">
            <w:pPr>
              <w:rPr>
                <w:rFonts w:eastAsia="Times New Roman"/>
                <w:b/>
                <w:bCs/>
                <w:i/>
                <w:iCs/>
              </w:rPr>
            </w:pPr>
            <w:r>
              <w:rPr>
                <w:rFonts w:eastAsia="Times New Roman"/>
                <w:b/>
                <w:bCs/>
                <w:i/>
                <w:iCs/>
              </w:rPr>
              <w:t>Investment project</w:t>
            </w:r>
          </w:p>
        </w:tc>
        <w:tc>
          <w:tcPr>
            <w:tcW w:w="4770" w:type="dxa"/>
            <w:tcBorders>
              <w:top w:val="single" w:sz="4" w:space="0" w:color="auto"/>
              <w:left w:val="nil"/>
              <w:bottom w:val="single" w:sz="4" w:space="0" w:color="auto"/>
              <w:right w:val="single" w:sz="4" w:space="0" w:color="auto"/>
            </w:tcBorders>
            <w:shd w:val="clear" w:color="auto" w:fill="auto"/>
            <w:noWrap/>
            <w:vAlign w:val="center"/>
          </w:tcPr>
          <w:p w:rsidR="009408D3" w:rsidRDefault="009408D3" w:rsidP="003E0CA1">
            <w:pPr>
              <w:rPr>
                <w:rFonts w:eastAsia="Times New Roman"/>
                <w:color w:val="000000"/>
              </w:rPr>
            </w:pPr>
            <w:r>
              <w:rPr>
                <w:rFonts w:eastAsia="Times New Roman"/>
                <w:color w:val="000000"/>
              </w:rPr>
              <w:t>Available, one level</w:t>
            </w:r>
          </w:p>
        </w:tc>
      </w:tr>
    </w:tbl>
    <w:p w:rsidR="003E0CA1" w:rsidRDefault="003E0CA1" w:rsidP="003E0CA1"/>
    <w:p w:rsidR="003E0CA1" w:rsidRDefault="003E0CA1" w:rsidP="003E0CA1"/>
    <w:p w:rsidR="003E0CA1" w:rsidRPr="003E0CA1" w:rsidRDefault="003E0CA1" w:rsidP="003E0CA1"/>
    <w:p w:rsidR="003E0CA1" w:rsidRDefault="003E0CA1" w:rsidP="003E0CA1">
      <w:pPr>
        <w:rPr>
          <w:rFonts w:eastAsiaTheme="majorEastAsia"/>
        </w:rPr>
      </w:pPr>
      <w:r>
        <w:br w:type="page"/>
      </w:r>
    </w:p>
    <w:p w:rsidR="00757F64" w:rsidRPr="004E346F" w:rsidRDefault="009B6F55" w:rsidP="00920017">
      <w:pPr>
        <w:pStyle w:val="Heading1"/>
        <w:pBdr>
          <w:bottom w:val="single" w:sz="6" w:space="1" w:color="auto"/>
        </w:pBdr>
        <w:jc w:val="center"/>
        <w:rPr>
          <w:rFonts w:ascii="Times New Roman" w:hAnsi="Times New Roman" w:cs="Times New Roman"/>
          <w:color w:val="auto"/>
          <w:sz w:val="32"/>
          <w:szCs w:val="24"/>
        </w:rPr>
      </w:pPr>
      <w:bookmarkStart w:id="3" w:name="_Toc525924313"/>
      <w:r w:rsidRPr="004E346F">
        <w:rPr>
          <w:rFonts w:ascii="Times New Roman" w:hAnsi="Times New Roman" w:cs="Times New Roman"/>
          <w:color w:val="auto"/>
          <w:sz w:val="32"/>
          <w:szCs w:val="24"/>
        </w:rPr>
        <w:lastRenderedPageBreak/>
        <w:t>II. Moldova Budget Structure</w:t>
      </w:r>
      <w:bookmarkEnd w:id="3"/>
    </w:p>
    <w:p w:rsidR="00AA1236" w:rsidRPr="00920017" w:rsidRDefault="00AA1236">
      <w:pPr>
        <w:jc w:val="both"/>
      </w:pPr>
    </w:p>
    <w:p w:rsidR="00AA1236" w:rsidRDefault="00AA1236">
      <w:pPr>
        <w:jc w:val="both"/>
      </w:pPr>
      <w:r w:rsidRPr="00920017">
        <w:t>Moldova’s national public bud</w:t>
      </w:r>
      <w:r>
        <w:t xml:space="preserve">get is composed of </w:t>
      </w:r>
      <w:r w:rsidR="006721C8">
        <w:t>four parts</w:t>
      </w:r>
      <w:r w:rsidR="001B1A33">
        <w:t>, as shown in Figure 1 below</w:t>
      </w:r>
      <w:r w:rsidR="00472F4E">
        <w:t>: (i) the State B</w:t>
      </w:r>
      <w:r w:rsidR="00B10EF6">
        <w:t xml:space="preserve">udget, </w:t>
      </w:r>
      <w:r w:rsidR="00535CE3">
        <w:t>BS; (ii) the B</w:t>
      </w:r>
      <w:r>
        <w:t>udget</w:t>
      </w:r>
      <w:r w:rsidR="007E6916">
        <w:t>s</w:t>
      </w:r>
      <w:r w:rsidR="00472F4E">
        <w:t xml:space="preserve"> of Administrative Territorial U</w:t>
      </w:r>
      <w:r>
        <w:t>nits</w:t>
      </w:r>
      <w:r w:rsidR="00B10EF6">
        <w:t xml:space="preserve">, </w:t>
      </w:r>
      <w:r w:rsidR="00535CE3">
        <w:t>BUAT; (iii) the B</w:t>
      </w:r>
      <w:r>
        <w:t>udget of t</w:t>
      </w:r>
      <w:r w:rsidR="00535CE3">
        <w:t>he State Social I</w:t>
      </w:r>
      <w:r w:rsidR="00B10EF6">
        <w:t xml:space="preserve">nsurance fund, </w:t>
      </w:r>
      <w:r w:rsidR="009B3FA7">
        <w:t>BASS; and (iv)</w:t>
      </w:r>
      <w:r w:rsidR="003938C6">
        <w:t xml:space="preserve"> </w:t>
      </w:r>
      <w:r w:rsidR="00535CE3">
        <w:t>the Budget of the Mandatory Health I</w:t>
      </w:r>
      <w:r w:rsidR="00B10EF6">
        <w:t>nsurance</w:t>
      </w:r>
      <w:r w:rsidR="00535CE3">
        <w:t xml:space="preserve"> F</w:t>
      </w:r>
      <w:r w:rsidR="00B10EF6">
        <w:t>und, FAOAM</w:t>
      </w:r>
      <w:r>
        <w:t>.</w:t>
      </w:r>
    </w:p>
    <w:p w:rsidR="006721C8" w:rsidRDefault="006721C8">
      <w:pPr>
        <w:jc w:val="both"/>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270"/>
      </w:tblGrid>
      <w:tr w:rsidR="00605FEC" w:rsidTr="00FD07A0">
        <w:trPr>
          <w:trHeight w:val="3402"/>
        </w:trPr>
        <w:tc>
          <w:tcPr>
            <w:tcW w:w="9270" w:type="dxa"/>
          </w:tcPr>
          <w:p w:rsidR="00605FEC" w:rsidRDefault="00605FEC" w:rsidP="00605FEC">
            <w:pPr>
              <w:jc w:val="center"/>
              <w:rPr>
                <w:b/>
                <w:i/>
              </w:rPr>
            </w:pPr>
          </w:p>
          <w:p w:rsidR="00C6310B" w:rsidRDefault="00C6310B" w:rsidP="00C6310B">
            <w:pPr>
              <w:jc w:val="center"/>
              <w:rPr>
                <w:b/>
                <w:i/>
              </w:rPr>
            </w:pPr>
            <w:r>
              <w:rPr>
                <w:b/>
                <w:i/>
              </w:rPr>
              <w:t>Figure 1. Structure of the Moldova National Public Budget</w:t>
            </w:r>
          </w:p>
          <w:p w:rsidR="00C6310B" w:rsidRDefault="00F85959" w:rsidP="00605FEC">
            <w:pPr>
              <w:jc w:val="center"/>
              <w:rPr>
                <w:b/>
                <w:i/>
              </w:rPr>
            </w:pPr>
            <w:r>
              <w:rPr>
                <w:noProof/>
              </w:rPr>
              <w:drawing>
                <wp:inline distT="0" distB="0" distL="0" distR="0" wp14:anchorId="7D18850F" wp14:editId="30B57993">
                  <wp:extent cx="4521200" cy="1803400"/>
                  <wp:effectExtent l="38100" t="0" r="69850" b="0"/>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85959" w:rsidRDefault="00F85959" w:rsidP="00AA70B4">
            <w:pPr>
              <w:rPr>
                <w:b/>
                <w:i/>
              </w:rPr>
            </w:pPr>
          </w:p>
        </w:tc>
      </w:tr>
    </w:tbl>
    <w:p w:rsidR="006160FC" w:rsidRDefault="006160FC">
      <w:pPr>
        <w:jc w:val="both"/>
      </w:pPr>
    </w:p>
    <w:p w:rsidR="00522720" w:rsidRDefault="0017391E">
      <w:pPr>
        <w:jc w:val="both"/>
      </w:pPr>
      <w:r>
        <w:t xml:space="preserve">In </w:t>
      </w:r>
      <w:r w:rsidR="007A6657">
        <w:t>Moldova, a</w:t>
      </w:r>
      <w:r w:rsidR="00D007B4">
        <w:t xml:space="preserve">ll </w:t>
      </w:r>
      <w:r w:rsidR="000C7D4B">
        <w:t>general government public</w:t>
      </w:r>
      <w:r w:rsidR="00D007B4">
        <w:t xml:space="preserve"> authorities/</w:t>
      </w:r>
      <w:r w:rsidR="006B663A">
        <w:t>institutions</w:t>
      </w:r>
      <w:r w:rsidR="00D007B4">
        <w:t>,</w:t>
      </w:r>
      <w:r w:rsidR="00DF6C7F">
        <w:t xml:space="preserve"> </w:t>
      </w:r>
      <w:r w:rsidR="000C7D4B">
        <w:t>including</w:t>
      </w:r>
      <w:r w:rsidR="00D007B4">
        <w:t xml:space="preserve"> the National </w:t>
      </w:r>
      <w:r w:rsidR="006B663A">
        <w:t>Office</w:t>
      </w:r>
      <w:r w:rsidR="00D007B4">
        <w:t xml:space="preserve"> of Social Insurance and the National Insurance Company</w:t>
      </w:r>
      <w:r w:rsidR="00DF6C7F">
        <w:t>,</w:t>
      </w:r>
      <w:r w:rsidR="00D007B4">
        <w:t xml:space="preserve"> prepare and present their financial statements </w:t>
      </w:r>
      <w:r w:rsidR="006B663A">
        <w:t>based on</w:t>
      </w:r>
      <w:r w:rsidR="00D007B4">
        <w:t xml:space="preserve"> a unique budget classification system that is consistent with GFS 2001. </w:t>
      </w:r>
      <w:r w:rsidR="00B22C70">
        <w:t xml:space="preserve">Starting from </w:t>
      </w:r>
      <w:r w:rsidR="006A0AF6">
        <w:t>1 January 2018</w:t>
      </w:r>
      <w:r w:rsidR="00B22C70">
        <w:t xml:space="preserve">, financial accounting and reporting </w:t>
      </w:r>
      <w:r w:rsidR="00223D79">
        <w:t>in the budgetary system</w:t>
      </w:r>
      <w:r w:rsidR="006A0AF6">
        <w:t xml:space="preserve"> of the Republic of Moldova</w:t>
      </w:r>
      <w:r w:rsidR="00223D79">
        <w:t xml:space="preserve"> are conducted in accordance with the new </w:t>
      </w:r>
      <w:r w:rsidR="004D5065">
        <w:t>CoAs</w:t>
      </w:r>
      <w:r w:rsidR="00223D79">
        <w:t xml:space="preserve"> </w:t>
      </w:r>
      <w:r w:rsidR="006A0AF6">
        <w:t>approved by the Order of the Minister of Finance No. 216 of 28 December 2015.</w:t>
      </w:r>
      <w:r w:rsidR="006A0AF6">
        <w:rPr>
          <w:rStyle w:val="FootnoteReference"/>
        </w:rPr>
        <w:footnoteReference w:id="1"/>
      </w:r>
      <w:r w:rsidR="004D5065">
        <w:t xml:space="preserve"> </w:t>
      </w:r>
    </w:p>
    <w:p w:rsidR="00522720" w:rsidRDefault="00522720">
      <w:pPr>
        <w:jc w:val="both"/>
      </w:pPr>
    </w:p>
    <w:p w:rsidR="005537AC" w:rsidRDefault="00522720">
      <w:pPr>
        <w:jc w:val="both"/>
      </w:pPr>
      <w:r>
        <w:t xml:space="preserve">The </w:t>
      </w:r>
      <w:r w:rsidR="007A6657">
        <w:t xml:space="preserve">new </w:t>
      </w:r>
      <w:r>
        <w:t xml:space="preserve">budget classification </w:t>
      </w:r>
      <w:r w:rsidR="008041C2">
        <w:t xml:space="preserve">includes </w:t>
      </w:r>
      <w:r w:rsidR="00454E5D">
        <w:t>f</w:t>
      </w:r>
      <w:r w:rsidR="00C17E14">
        <w:t>unctional classification</w:t>
      </w:r>
      <w:r w:rsidR="009B40EA">
        <w:t xml:space="preserve"> (COFOG-compatible)</w:t>
      </w:r>
      <w:r w:rsidR="00C17E14">
        <w:t>, program classification</w:t>
      </w:r>
      <w:r w:rsidR="009B40EA">
        <w:t xml:space="preserve">, </w:t>
      </w:r>
      <w:r w:rsidR="00C17E14">
        <w:t>economic</w:t>
      </w:r>
      <w:r w:rsidR="009B40EA">
        <w:t xml:space="preserve"> and organizational</w:t>
      </w:r>
      <w:r w:rsidR="00C17E14">
        <w:t xml:space="preserve"> classification of budget expenditures</w:t>
      </w:r>
      <w:r w:rsidR="009B40EA">
        <w:t xml:space="preserve"> and revenues</w:t>
      </w:r>
      <w:r w:rsidR="00F03B9E">
        <w:t xml:space="preserve">, as well as classification by </w:t>
      </w:r>
      <w:r w:rsidR="00C52C9A">
        <w:t>sources</w:t>
      </w:r>
      <w:r w:rsidR="00F03B9E">
        <w:t xml:space="preserve"> of financing of government expenditures</w:t>
      </w:r>
      <w:r w:rsidR="009B40EA">
        <w:t xml:space="preserve">. </w:t>
      </w:r>
      <w:r w:rsidR="00C9649E">
        <w:t>It</w:t>
      </w:r>
      <w:r w:rsidR="00677269">
        <w:t xml:space="preserve"> contains </w:t>
      </w:r>
      <w:r w:rsidR="00330EC0">
        <w:t>six</w:t>
      </w:r>
      <w:r w:rsidR="00677269">
        <w:t xml:space="preserve"> levels of economic classification</w:t>
      </w:r>
      <w:r w:rsidR="005537AC">
        <w:t xml:space="preserve"> (</w:t>
      </w:r>
      <w:r w:rsidR="00FA0694">
        <w:t>type, categor</w:t>
      </w:r>
      <w:r w:rsidR="00363CF2">
        <w:t>y</w:t>
      </w:r>
      <w:r w:rsidR="00FA0694">
        <w:t xml:space="preserve">, chapter, article, </w:t>
      </w:r>
      <w:r w:rsidR="006B663A">
        <w:t>paragraph</w:t>
      </w:r>
      <w:r w:rsidR="003C101E">
        <w:t>,</w:t>
      </w:r>
      <w:r w:rsidR="00FA0694">
        <w:t xml:space="preserve"> and </w:t>
      </w:r>
      <w:r w:rsidR="003C101E">
        <w:t>analysis</w:t>
      </w:r>
      <w:r w:rsidR="005537AC">
        <w:t xml:space="preserve">), </w:t>
      </w:r>
      <w:r w:rsidR="0039437B">
        <w:t xml:space="preserve">three </w:t>
      </w:r>
      <w:r w:rsidR="005537AC">
        <w:t>levels of functi</w:t>
      </w:r>
      <w:r w:rsidR="00F03B9E">
        <w:t>onal classification (main group, group,</w:t>
      </w:r>
      <w:r w:rsidR="005537AC">
        <w:t xml:space="preserve"> and </w:t>
      </w:r>
      <w:r w:rsidR="00F03B9E">
        <w:t>sub-group</w:t>
      </w:r>
      <w:r w:rsidR="00C52C9A">
        <w:t>), and three</w:t>
      </w:r>
      <w:r w:rsidR="005537AC">
        <w:t xml:space="preserve"> levels of progr</w:t>
      </w:r>
      <w:r w:rsidR="00C52C9A">
        <w:t xml:space="preserve">am classification (program, </w:t>
      </w:r>
      <w:r w:rsidR="005537AC">
        <w:t>sub</w:t>
      </w:r>
      <w:r w:rsidR="00C52C9A">
        <w:t>-</w:t>
      </w:r>
      <w:r w:rsidR="005537AC">
        <w:t>prog</w:t>
      </w:r>
      <w:r w:rsidR="00C52C9A">
        <w:t xml:space="preserve">ram, and </w:t>
      </w:r>
      <w:r w:rsidR="006B663A">
        <w:t>activity</w:t>
      </w:r>
      <w:r w:rsidR="005537AC">
        <w:t xml:space="preserve">). </w:t>
      </w:r>
    </w:p>
    <w:p w:rsidR="005537AC" w:rsidRDefault="005537AC">
      <w:pPr>
        <w:jc w:val="both"/>
      </w:pPr>
    </w:p>
    <w:p w:rsidR="00677269" w:rsidRDefault="00C62703">
      <w:pPr>
        <w:jc w:val="both"/>
      </w:pPr>
      <w:r>
        <w:t xml:space="preserve">Administratively, </w:t>
      </w:r>
      <w:r w:rsidR="005A4940">
        <w:t>government spending units</w:t>
      </w:r>
      <w:r w:rsidR="005537AC">
        <w:t xml:space="preserve"> are classified into top-level public authorities (such</w:t>
      </w:r>
      <w:r w:rsidR="00E40CC2">
        <w:t xml:space="preserve"> as ministries</w:t>
      </w:r>
      <w:r w:rsidR="005A4940">
        <w:t xml:space="preserve"> at the central government level and districts or municipalities</w:t>
      </w:r>
      <w:r w:rsidR="001F1878">
        <w:t xml:space="preserve"> at the local government level, followed by </w:t>
      </w:r>
      <w:r w:rsidR="00924424">
        <w:t xml:space="preserve">their subordinate </w:t>
      </w:r>
      <w:r w:rsidR="002D31A0">
        <w:t xml:space="preserve">agencies, which are </w:t>
      </w:r>
      <w:r w:rsidR="005537AC">
        <w:t xml:space="preserve">further subdivided into </w:t>
      </w:r>
      <w:r w:rsidR="004D088C">
        <w:t xml:space="preserve">local and central government spending units. </w:t>
      </w:r>
    </w:p>
    <w:p w:rsidR="00677269" w:rsidRDefault="00677269">
      <w:pPr>
        <w:jc w:val="both"/>
      </w:pPr>
    </w:p>
    <w:p w:rsidR="006160FC" w:rsidRDefault="006B663A" w:rsidP="00764D50">
      <w:pPr>
        <w:jc w:val="both"/>
      </w:pPr>
      <w:r>
        <w:t>To</w:t>
      </w:r>
      <w:r w:rsidR="005537AC">
        <w:t xml:space="preserve"> accurately account for all expenditures across levels of government, budget consolidation must be performed </w:t>
      </w:r>
      <w:r w:rsidR="006160FC" w:rsidRPr="007C48E8">
        <w:t xml:space="preserve">by netting out transfers across budgets and </w:t>
      </w:r>
      <w:r w:rsidR="00E00027">
        <w:t>levels of government</w:t>
      </w:r>
      <w:r w:rsidR="005537AC">
        <w:t xml:space="preserve">. </w:t>
      </w:r>
      <w:r w:rsidR="00764D50">
        <w:t>Such transfers a</w:t>
      </w:r>
      <w:r w:rsidR="00E6739E">
        <w:t xml:space="preserve">re </w:t>
      </w:r>
      <w:r w:rsidR="00E6739E">
        <w:lastRenderedPageBreak/>
        <w:t>contained within a</w:t>
      </w:r>
      <w:r w:rsidR="00E532F3">
        <w:t>rticles 191-194 (budget revenue</w:t>
      </w:r>
      <w:r w:rsidR="00764D50">
        <w:t xml:space="preserve"> tra</w:t>
      </w:r>
      <w:r w:rsidR="00BB580B">
        <w:t>nsfers) and 291</w:t>
      </w:r>
      <w:r w:rsidR="00E6739E">
        <w:t>-294</w:t>
      </w:r>
      <w:r w:rsidR="00764D50">
        <w:t xml:space="preserve"> (</w:t>
      </w:r>
      <w:r w:rsidR="00E532F3">
        <w:t>budget expenditure transfers</w:t>
      </w:r>
      <w:r w:rsidR="00764D50">
        <w:t xml:space="preserve">) in Moldova’s economic budget classification. </w:t>
      </w:r>
    </w:p>
    <w:p w:rsidR="00764D50" w:rsidRDefault="00764D50" w:rsidP="00764D50">
      <w:pPr>
        <w:jc w:val="both"/>
      </w:pPr>
    </w:p>
    <w:p w:rsidR="006160FC" w:rsidRDefault="006160FC">
      <w:pPr>
        <w:jc w:val="both"/>
        <w:sectPr w:rsidR="006160FC" w:rsidSect="00026BBE">
          <w:pgSz w:w="12240" w:h="15840"/>
          <w:pgMar w:top="1440" w:right="1440" w:bottom="1440" w:left="1440" w:header="708" w:footer="708" w:gutter="0"/>
          <w:cols w:space="708"/>
          <w:docGrid w:linePitch="360"/>
        </w:sectPr>
      </w:pPr>
    </w:p>
    <w:p w:rsidR="006160FC" w:rsidRPr="004E346F" w:rsidRDefault="006160FC" w:rsidP="00920017">
      <w:pPr>
        <w:pStyle w:val="Heading1"/>
        <w:pBdr>
          <w:bottom w:val="single" w:sz="6" w:space="1" w:color="auto"/>
        </w:pBdr>
        <w:jc w:val="center"/>
        <w:rPr>
          <w:rFonts w:ascii="Times New Roman" w:hAnsi="Times New Roman" w:cs="Times New Roman"/>
          <w:color w:val="auto"/>
          <w:sz w:val="32"/>
          <w:szCs w:val="24"/>
        </w:rPr>
      </w:pPr>
      <w:bookmarkStart w:id="4" w:name="_Toc525924314"/>
      <w:r w:rsidRPr="004E346F">
        <w:rPr>
          <w:rFonts w:ascii="Times New Roman" w:hAnsi="Times New Roman" w:cs="Times New Roman"/>
          <w:color w:val="auto"/>
          <w:sz w:val="32"/>
          <w:szCs w:val="24"/>
        </w:rPr>
        <w:lastRenderedPageBreak/>
        <w:t>III.  Database Organization</w:t>
      </w:r>
      <w:bookmarkEnd w:id="4"/>
    </w:p>
    <w:p w:rsidR="006160FC" w:rsidRDefault="006160FC">
      <w:pPr>
        <w:jc w:val="both"/>
      </w:pPr>
    </w:p>
    <w:p w:rsidR="006160FC" w:rsidRDefault="006160FC">
      <w:pPr>
        <w:jc w:val="both"/>
      </w:pPr>
      <w:r>
        <w:t xml:space="preserve">The BOOST government expenditure database was constructed on the basis of treasury data provided to the World Bank </w:t>
      </w:r>
      <w:r w:rsidR="00FF59B4" w:rsidRPr="00FF59B4">
        <w:t>by the Center for Information Technologies in Finance (CTIF, which includes the reorganized state enterprise Fintehinform)</w:t>
      </w:r>
      <w:r w:rsidR="00FF59B4">
        <w:t xml:space="preserve"> under</w:t>
      </w:r>
      <w:r>
        <w:t xml:space="preserve"> the auspices of the Moldovan Min</w:t>
      </w:r>
      <w:r w:rsidR="001018BA">
        <w:t>i</w:t>
      </w:r>
      <w:r>
        <w:t>stry of Finance</w:t>
      </w:r>
      <w:r w:rsidR="001018BA">
        <w:t xml:space="preserve"> (</w:t>
      </w:r>
      <w:r w:rsidR="00B736EF">
        <w:t>MoF</w:t>
      </w:r>
      <w:r w:rsidR="001018BA">
        <w:t>)</w:t>
      </w:r>
      <w:r>
        <w:t>.</w:t>
      </w:r>
      <w:r w:rsidR="00123EFC">
        <w:t xml:space="preserve">  Data for state and ATU budgets </w:t>
      </w:r>
      <w:r w:rsidR="00D93907">
        <w:t>were</w:t>
      </w:r>
      <w:r w:rsidR="00123EFC">
        <w:t xml:space="preserve"> transmitted in XLS or CSV files covering</w:t>
      </w:r>
      <w:r w:rsidR="00BB3F07">
        <w:t xml:space="preserve"> annual</w:t>
      </w:r>
      <w:r w:rsidR="00D93907">
        <w:t xml:space="preserve"> expenditures from 2005 to 201</w:t>
      </w:r>
      <w:r w:rsidR="00FF59B4">
        <w:t>7</w:t>
      </w:r>
      <w:r w:rsidR="004014E2">
        <w:t xml:space="preserve"> and annual revenues for 2016 and 2017</w:t>
      </w:r>
      <w:r w:rsidR="00123EFC">
        <w:t xml:space="preserve">.  A sample of the data from one such file can be seen </w:t>
      </w:r>
      <w:r w:rsidR="001B1A33">
        <w:t>in Table 1 below.</w:t>
      </w:r>
    </w:p>
    <w:p w:rsidR="00123EFC" w:rsidRDefault="00123EFC">
      <w:pPr>
        <w:jc w:val="both"/>
      </w:pPr>
    </w:p>
    <w:tbl>
      <w:tblPr>
        <w:tblW w:w="9576" w:type="dxa"/>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9576"/>
      </w:tblGrid>
      <w:tr w:rsidR="00C6310B" w:rsidRPr="00820ABD" w:rsidTr="00796484">
        <w:trPr>
          <w:cantSplit/>
          <w:trHeight w:val="455"/>
          <w:jc w:val="center"/>
        </w:trPr>
        <w:tc>
          <w:tcPr>
            <w:tcW w:w="9441" w:type="dxa"/>
            <w:tcBorders>
              <w:bottom w:val="single" w:sz="4" w:space="0" w:color="auto"/>
            </w:tcBorders>
            <w:shd w:val="clear" w:color="auto" w:fill="auto"/>
            <w:noWrap/>
            <w:vAlign w:val="bottom"/>
            <w:hideMark/>
          </w:tcPr>
          <w:p w:rsidR="00C6310B" w:rsidRDefault="00C6310B" w:rsidP="00C6310B">
            <w:pPr>
              <w:jc w:val="center"/>
              <w:rPr>
                <w:rFonts w:eastAsia="Times New Roman"/>
                <w:b/>
                <w:i/>
                <w:color w:val="000000"/>
                <w:szCs w:val="16"/>
              </w:rPr>
            </w:pPr>
          </w:p>
          <w:p w:rsidR="00C6310B" w:rsidRDefault="00C6310B" w:rsidP="00C6310B">
            <w:pPr>
              <w:jc w:val="center"/>
              <w:rPr>
                <w:rFonts w:eastAsia="Times New Roman"/>
                <w:b/>
                <w:i/>
                <w:color w:val="000000"/>
                <w:szCs w:val="16"/>
              </w:rPr>
            </w:pPr>
            <w:r>
              <w:rPr>
                <w:rFonts w:eastAsia="Times New Roman"/>
                <w:b/>
                <w:i/>
                <w:color w:val="000000"/>
                <w:szCs w:val="16"/>
              </w:rPr>
              <w:t>Table 1. Raw Data Sample</w:t>
            </w:r>
          </w:p>
          <w:p w:rsidR="00423A5B" w:rsidRDefault="00423A5B" w:rsidP="00C6310B">
            <w:pPr>
              <w:jc w:val="center"/>
              <w:rPr>
                <w:rFonts w:eastAsia="Times New Roman"/>
                <w:b/>
                <w:i/>
                <w:color w:val="000000"/>
                <w:szCs w:val="16"/>
              </w:rPr>
            </w:pPr>
          </w:p>
          <w:p w:rsidR="00423A5B" w:rsidRDefault="00C52329" w:rsidP="00C6310B">
            <w:pPr>
              <w:jc w:val="center"/>
              <w:rPr>
                <w:rFonts w:eastAsia="Times New Roman"/>
                <w:b/>
                <w:i/>
                <w:color w:val="000000"/>
                <w:szCs w:val="16"/>
              </w:rPr>
            </w:pPr>
            <w:r>
              <w:rPr>
                <w:noProof/>
              </w:rPr>
              <w:drawing>
                <wp:inline distT="0" distB="0" distL="0" distR="0" wp14:anchorId="4B25776E" wp14:editId="6583B50D">
                  <wp:extent cx="5943600" cy="27374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4713" cy="2742531"/>
                          </a:xfrm>
                          <a:prstGeom prst="rect">
                            <a:avLst/>
                          </a:prstGeom>
                        </pic:spPr>
                      </pic:pic>
                    </a:graphicData>
                  </a:graphic>
                </wp:inline>
              </w:drawing>
            </w:r>
          </w:p>
          <w:p w:rsidR="00C6310B" w:rsidRPr="00C6310B" w:rsidRDefault="00C6310B" w:rsidP="00C6310B">
            <w:pPr>
              <w:jc w:val="center"/>
              <w:rPr>
                <w:rFonts w:eastAsia="Times New Roman"/>
                <w:b/>
                <w:i/>
                <w:color w:val="000000"/>
                <w:szCs w:val="16"/>
              </w:rPr>
            </w:pPr>
          </w:p>
        </w:tc>
      </w:tr>
      <w:tr w:rsidR="00C52329" w:rsidRPr="00820ABD" w:rsidTr="00796484">
        <w:trPr>
          <w:trHeight w:val="79"/>
          <w:jc w:val="center"/>
        </w:trPr>
        <w:tc>
          <w:tcPr>
            <w:tcW w:w="9576" w:type="dxa"/>
            <w:tcBorders>
              <w:top w:val="single" w:sz="4" w:space="0" w:color="auto"/>
              <w:bottom w:val="thickThinSmallGap" w:sz="24" w:space="0" w:color="auto"/>
            </w:tcBorders>
            <w:shd w:val="clear" w:color="auto" w:fill="auto"/>
            <w:noWrap/>
            <w:vAlign w:val="bottom"/>
          </w:tcPr>
          <w:p w:rsidR="00C52329" w:rsidRPr="00C6310B" w:rsidRDefault="00C52329" w:rsidP="00BB3F07">
            <w:pPr>
              <w:jc w:val="right"/>
              <w:rPr>
                <w:rFonts w:eastAsia="Times New Roman"/>
                <w:color w:val="000000"/>
                <w:sz w:val="16"/>
                <w:szCs w:val="16"/>
              </w:rPr>
            </w:pPr>
          </w:p>
        </w:tc>
      </w:tr>
    </w:tbl>
    <w:p w:rsidR="007C48E8" w:rsidRDefault="007C48E8">
      <w:pPr>
        <w:jc w:val="both"/>
      </w:pPr>
    </w:p>
    <w:p w:rsidR="007C48E8" w:rsidRDefault="00D93907">
      <w:pPr>
        <w:jc w:val="both"/>
      </w:pPr>
      <w:r>
        <w:t>At the time of BOOST construction,</w:t>
      </w:r>
      <w:r w:rsidR="001018BA">
        <w:t xml:space="preserve"> no detailed expenditure</w:t>
      </w:r>
      <w:r w:rsidR="00DE252B">
        <w:t>/revenue</w:t>
      </w:r>
      <w:r w:rsidR="001018BA">
        <w:t xml:space="preserve"> data was available for BASS and FAOAM</w:t>
      </w:r>
      <w:r w:rsidR="00A046C2">
        <w:t xml:space="preserve"> </w:t>
      </w:r>
      <w:r>
        <w:t>budgets. Therefore</w:t>
      </w:r>
      <w:r w:rsidR="001018BA">
        <w:t xml:space="preserve">, </w:t>
      </w:r>
      <w:r>
        <w:t xml:space="preserve">aggregated </w:t>
      </w:r>
      <w:r w:rsidR="001018BA">
        <w:t xml:space="preserve">planned and executed budget totals for these extrabudgetary funds </w:t>
      </w:r>
      <w:r>
        <w:t>were</w:t>
      </w:r>
      <w:r w:rsidR="001018BA">
        <w:t xml:space="preserve"> taken from </w:t>
      </w:r>
      <w:r w:rsidR="009B3FA7">
        <w:t>year-end</w:t>
      </w:r>
      <w:r w:rsidR="001018BA">
        <w:t xml:space="preserve"> budget execution reports available on the M</w:t>
      </w:r>
      <w:r w:rsidR="00B736EF">
        <w:t>o</w:t>
      </w:r>
      <w:r w:rsidR="001018BA">
        <w:t xml:space="preserve">F website. </w:t>
      </w:r>
    </w:p>
    <w:p w:rsidR="00D93907" w:rsidRDefault="00D93907">
      <w:pPr>
        <w:jc w:val="both"/>
      </w:pPr>
    </w:p>
    <w:p w:rsidR="00D93907" w:rsidRPr="001B1A33" w:rsidRDefault="001B1A33">
      <w:pPr>
        <w:jc w:val="both"/>
      </w:pPr>
      <w:r>
        <w:t xml:space="preserve">The BOOST database contains variables that correspond to fields in the treasury data that cover different types and levels of Moldova’s budget classification. Each variable is labeled with a standard BOOST name that identifies the type of budget classification to </w:t>
      </w:r>
      <w:r w:rsidR="00170609">
        <w:t>which the variable corresponds—</w:t>
      </w:r>
      <w:r>
        <w:t xml:space="preserve">e.g., </w:t>
      </w:r>
      <w:r>
        <w:rPr>
          <w:i/>
        </w:rPr>
        <w:t>econ1</w:t>
      </w:r>
      <w:r>
        <w:t xml:space="preserve"> corresponds to the first (top) level of the country’s</w:t>
      </w:r>
      <w:r w:rsidR="00170609">
        <w:t xml:space="preserve"> economic budget </w:t>
      </w:r>
      <w:r w:rsidR="00170609">
        <w:lastRenderedPageBreak/>
        <w:t>classification</w:t>
      </w:r>
      <w:r>
        <w:t>. A complete list of BOOST variables and descriptions can be found in Table 2</w:t>
      </w:r>
      <w:r w:rsidR="00402866">
        <w:rPr>
          <w:rStyle w:val="FootnoteReference"/>
        </w:rPr>
        <w:footnoteReference w:id="2"/>
      </w:r>
      <w:r>
        <w:t xml:space="preserve"> below.</w:t>
      </w:r>
    </w:p>
    <w:p w:rsidR="00C6310B" w:rsidRPr="00C6310B" w:rsidRDefault="00C6310B" w:rsidP="00C6310B">
      <w:pPr>
        <w:jc w:val="center"/>
        <w:rPr>
          <w:b/>
          <w:i/>
        </w:rPr>
      </w:pPr>
    </w:p>
    <w:tbl>
      <w:tblPr>
        <w:tblW w:w="918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15"/>
        <w:gridCol w:w="7065"/>
      </w:tblGrid>
      <w:tr w:rsidR="00C6310B" w:rsidRPr="00BB3F07" w:rsidTr="00402866">
        <w:trPr>
          <w:trHeight w:val="255"/>
          <w:jc w:val="center"/>
        </w:trPr>
        <w:tc>
          <w:tcPr>
            <w:tcW w:w="9180" w:type="dxa"/>
            <w:gridSpan w:val="2"/>
            <w:shd w:val="clear" w:color="auto" w:fill="auto"/>
            <w:noWrap/>
            <w:vAlign w:val="bottom"/>
            <w:hideMark/>
          </w:tcPr>
          <w:p w:rsidR="00C6310B" w:rsidRDefault="00C6310B" w:rsidP="00C6310B">
            <w:pPr>
              <w:jc w:val="center"/>
              <w:rPr>
                <w:b/>
                <w:i/>
              </w:rPr>
            </w:pPr>
            <w:r w:rsidRPr="00C6310B">
              <w:rPr>
                <w:b/>
                <w:i/>
              </w:rPr>
              <w:t xml:space="preserve">Table 2. </w:t>
            </w:r>
            <w:r>
              <w:rPr>
                <w:b/>
                <w:i/>
              </w:rPr>
              <w:t>List of BOOST Variables</w:t>
            </w:r>
          </w:p>
          <w:p w:rsidR="00C6310B" w:rsidRPr="00BB3F07" w:rsidRDefault="00C6310B" w:rsidP="00605FEC">
            <w:pPr>
              <w:jc w:val="center"/>
              <w:rPr>
                <w:rFonts w:eastAsia="Times New Roman"/>
                <w:b/>
                <w:bCs/>
                <w:color w:val="000000"/>
                <w:sz w:val="20"/>
                <w:szCs w:val="20"/>
              </w:rPr>
            </w:pPr>
          </w:p>
        </w:tc>
      </w:tr>
      <w:tr w:rsidR="00C6310B" w:rsidRPr="00BB3F07" w:rsidTr="00402866">
        <w:trPr>
          <w:trHeight w:val="255"/>
          <w:jc w:val="center"/>
        </w:trPr>
        <w:tc>
          <w:tcPr>
            <w:tcW w:w="2115" w:type="dxa"/>
            <w:shd w:val="clear" w:color="auto" w:fill="auto"/>
            <w:noWrap/>
            <w:vAlign w:val="bottom"/>
            <w:hideMark/>
          </w:tcPr>
          <w:p w:rsidR="00C6310B" w:rsidRDefault="00C6310B" w:rsidP="00677269">
            <w:pPr>
              <w:jc w:val="center"/>
              <w:rPr>
                <w:rFonts w:eastAsia="Times New Roman"/>
                <w:b/>
                <w:bCs/>
                <w:color w:val="000000"/>
                <w:sz w:val="20"/>
                <w:szCs w:val="20"/>
              </w:rPr>
            </w:pPr>
            <w:r w:rsidRPr="00BB3F07">
              <w:rPr>
                <w:rFonts w:eastAsia="Times New Roman"/>
                <w:b/>
                <w:bCs/>
                <w:color w:val="000000"/>
                <w:sz w:val="20"/>
                <w:szCs w:val="20"/>
              </w:rPr>
              <w:t>BOOST Variable</w:t>
            </w:r>
          </w:p>
          <w:p w:rsidR="0067370F" w:rsidRPr="00BB3F07" w:rsidRDefault="0067370F" w:rsidP="00677269">
            <w:pPr>
              <w:jc w:val="center"/>
              <w:rPr>
                <w:rFonts w:eastAsia="Times New Roman"/>
                <w:b/>
                <w:bCs/>
                <w:color w:val="000000"/>
                <w:sz w:val="20"/>
                <w:szCs w:val="20"/>
              </w:rPr>
            </w:pPr>
          </w:p>
        </w:tc>
        <w:tc>
          <w:tcPr>
            <w:tcW w:w="7065" w:type="dxa"/>
            <w:shd w:val="clear" w:color="auto" w:fill="auto"/>
            <w:noWrap/>
            <w:vAlign w:val="bottom"/>
            <w:hideMark/>
          </w:tcPr>
          <w:p w:rsidR="00C6310B" w:rsidRDefault="00C6310B" w:rsidP="00677269">
            <w:pPr>
              <w:jc w:val="center"/>
              <w:rPr>
                <w:rFonts w:eastAsia="Times New Roman"/>
                <w:b/>
                <w:bCs/>
                <w:color w:val="000000"/>
                <w:sz w:val="20"/>
                <w:szCs w:val="20"/>
              </w:rPr>
            </w:pPr>
            <w:r w:rsidRPr="00BB3F07">
              <w:rPr>
                <w:rFonts w:eastAsia="Times New Roman"/>
                <w:b/>
                <w:bCs/>
                <w:color w:val="000000"/>
                <w:sz w:val="20"/>
                <w:szCs w:val="20"/>
              </w:rPr>
              <w:t>Variable Description</w:t>
            </w:r>
          </w:p>
          <w:p w:rsidR="0067370F" w:rsidRPr="00BB3F07" w:rsidRDefault="0067370F" w:rsidP="00677269">
            <w:pPr>
              <w:jc w:val="center"/>
              <w:rPr>
                <w:rFonts w:eastAsia="Times New Roman"/>
                <w:b/>
                <w:bCs/>
                <w:color w:val="000000"/>
                <w:sz w:val="20"/>
                <w:szCs w:val="20"/>
              </w:rPr>
            </w:pPr>
          </w:p>
        </w:tc>
      </w:tr>
      <w:tr w:rsidR="00C6310B" w:rsidRPr="00BB3F07" w:rsidTr="00402866">
        <w:trPr>
          <w:trHeight w:val="255"/>
          <w:jc w:val="center"/>
        </w:trPr>
        <w:tc>
          <w:tcPr>
            <w:tcW w:w="9180" w:type="dxa"/>
            <w:gridSpan w:val="2"/>
            <w:shd w:val="clear" w:color="auto" w:fill="auto"/>
            <w:noWrap/>
            <w:vAlign w:val="bottom"/>
            <w:hideMark/>
          </w:tcPr>
          <w:p w:rsidR="00C6310B" w:rsidRDefault="00C6310B" w:rsidP="00AB18ED">
            <w:pPr>
              <w:jc w:val="center"/>
              <w:rPr>
                <w:rFonts w:eastAsia="Times New Roman"/>
                <w:b/>
                <w:i/>
                <w:color w:val="000000"/>
                <w:sz w:val="20"/>
                <w:szCs w:val="20"/>
              </w:rPr>
            </w:pPr>
            <w:r w:rsidRPr="001B6791">
              <w:rPr>
                <w:rFonts w:eastAsia="Times New Roman"/>
                <w:b/>
                <w:i/>
                <w:color w:val="000000"/>
                <w:sz w:val="20"/>
                <w:szCs w:val="20"/>
              </w:rPr>
              <w:t>Administrative Classification Variables</w:t>
            </w:r>
          </w:p>
          <w:p w:rsidR="00855DD6" w:rsidRPr="001B6791" w:rsidRDefault="00855DD6" w:rsidP="00AB18ED">
            <w:pPr>
              <w:jc w:val="center"/>
              <w:rPr>
                <w:rFonts w:eastAsia="Times New Roman"/>
                <w:b/>
                <w:color w:val="000000"/>
                <w:sz w:val="20"/>
                <w:szCs w:val="20"/>
              </w:rPr>
            </w:pP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admin1</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1: </w:t>
            </w:r>
            <w:r w:rsidRPr="00BB3F07">
              <w:rPr>
                <w:rFonts w:eastAsia="Times New Roman"/>
                <w:color w:val="000000"/>
                <w:sz w:val="20"/>
                <w:szCs w:val="20"/>
              </w:rPr>
              <w:t>Budget</w:t>
            </w:r>
            <w:r w:rsidR="00A01C55">
              <w:rPr>
                <w:rFonts w:eastAsia="Times New Roman"/>
                <w:color w:val="000000"/>
                <w:sz w:val="20"/>
                <w:szCs w:val="20"/>
              </w:rPr>
              <w:t xml:space="preserve"> (Central/Local/Other)</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admin2</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2: </w:t>
            </w:r>
            <w:r w:rsidRPr="00BB3F07">
              <w:rPr>
                <w:rFonts w:eastAsia="Times New Roman"/>
                <w:color w:val="000000"/>
                <w:sz w:val="20"/>
                <w:szCs w:val="20"/>
              </w:rPr>
              <w:t>Public Authority</w:t>
            </w:r>
            <w:r w:rsidR="00A01C55">
              <w:rPr>
                <w:rFonts w:eastAsia="Times New Roman"/>
                <w:color w:val="000000"/>
                <w:sz w:val="20"/>
                <w:szCs w:val="20"/>
              </w:rPr>
              <w:t xml:space="preserve"> (Ministry or Raion) </w:t>
            </w:r>
          </w:p>
        </w:tc>
      </w:tr>
      <w:tr w:rsidR="008D2A6B" w:rsidRPr="00BB3F07" w:rsidTr="00402866">
        <w:trPr>
          <w:trHeight w:val="255"/>
          <w:jc w:val="center"/>
        </w:trPr>
        <w:tc>
          <w:tcPr>
            <w:tcW w:w="2115" w:type="dxa"/>
            <w:shd w:val="clear" w:color="auto" w:fill="auto"/>
            <w:noWrap/>
            <w:vAlign w:val="bottom"/>
          </w:tcPr>
          <w:p w:rsidR="008D2A6B" w:rsidRPr="00BB3F07" w:rsidRDefault="008D2A6B" w:rsidP="00D6550D">
            <w:pPr>
              <w:jc w:val="center"/>
              <w:rPr>
                <w:rFonts w:eastAsia="Times New Roman"/>
                <w:color w:val="000000"/>
                <w:sz w:val="20"/>
                <w:szCs w:val="20"/>
              </w:rPr>
            </w:pPr>
            <w:r>
              <w:rPr>
                <w:rFonts w:eastAsia="Times New Roman"/>
                <w:color w:val="000000"/>
                <w:sz w:val="20"/>
                <w:szCs w:val="20"/>
              </w:rPr>
              <w:t>admin3_inter</w:t>
            </w:r>
          </w:p>
        </w:tc>
        <w:tc>
          <w:tcPr>
            <w:tcW w:w="7065" w:type="dxa"/>
            <w:shd w:val="clear" w:color="auto" w:fill="auto"/>
            <w:noWrap/>
            <w:vAlign w:val="bottom"/>
          </w:tcPr>
          <w:p w:rsidR="008D2A6B" w:rsidRDefault="008D2A6B" w:rsidP="00D6550D">
            <w:pPr>
              <w:rPr>
                <w:rFonts w:eastAsia="Times New Roman"/>
                <w:color w:val="000000"/>
                <w:sz w:val="20"/>
                <w:szCs w:val="20"/>
              </w:rPr>
            </w:pPr>
            <w:r>
              <w:rPr>
                <w:rFonts w:eastAsia="Times New Roman"/>
                <w:color w:val="000000"/>
                <w:sz w:val="20"/>
                <w:szCs w:val="20"/>
              </w:rPr>
              <w:t>Level 3 (intermediate):</w:t>
            </w:r>
            <w:r w:rsidR="00764BDC">
              <w:rPr>
                <w:rFonts w:eastAsia="Times New Roman"/>
                <w:color w:val="000000"/>
                <w:sz w:val="20"/>
                <w:szCs w:val="20"/>
              </w:rPr>
              <w:t xml:space="preserve"> Intermediate Budget </w:t>
            </w:r>
            <w:r w:rsidR="00796484">
              <w:rPr>
                <w:rFonts w:eastAsia="Times New Roman"/>
                <w:color w:val="000000"/>
                <w:sz w:val="20"/>
                <w:szCs w:val="20"/>
              </w:rPr>
              <w:t>Institution</w:t>
            </w:r>
            <w:r w:rsidR="00764BDC">
              <w:rPr>
                <w:rFonts w:eastAsia="Times New Roman"/>
                <w:color w:val="000000"/>
                <w:sz w:val="20"/>
                <w:szCs w:val="20"/>
              </w:rPr>
              <w:t xml:space="preserve"> (Central/Local) </w:t>
            </w:r>
            <w:r>
              <w:rPr>
                <w:rFonts w:eastAsia="Times New Roman"/>
                <w:color w:val="000000"/>
                <w:sz w:val="20"/>
                <w:szCs w:val="20"/>
              </w:rPr>
              <w:t xml:space="preserve"> </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admin3</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3 (Central): </w:t>
            </w:r>
            <w:r w:rsidRPr="00BB3F07">
              <w:rPr>
                <w:rFonts w:eastAsia="Times New Roman"/>
                <w:color w:val="000000"/>
                <w:sz w:val="20"/>
                <w:szCs w:val="20"/>
              </w:rPr>
              <w:t>Central Government Institution</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admin4</w:t>
            </w:r>
          </w:p>
        </w:tc>
        <w:tc>
          <w:tcPr>
            <w:tcW w:w="7065" w:type="dxa"/>
            <w:shd w:val="clear" w:color="auto" w:fill="auto"/>
            <w:noWrap/>
            <w:vAlign w:val="bottom"/>
            <w:hideMark/>
          </w:tcPr>
          <w:p w:rsidR="00C6310B" w:rsidRPr="00BB3F07" w:rsidRDefault="00A66831" w:rsidP="005537AC">
            <w:pPr>
              <w:rPr>
                <w:rFonts w:eastAsia="Times New Roman"/>
                <w:color w:val="000000"/>
                <w:sz w:val="20"/>
                <w:szCs w:val="20"/>
              </w:rPr>
            </w:pPr>
            <w:r>
              <w:rPr>
                <w:rFonts w:eastAsia="Times New Roman"/>
                <w:color w:val="000000"/>
                <w:sz w:val="20"/>
                <w:szCs w:val="20"/>
              </w:rPr>
              <w:t>Level 4</w:t>
            </w:r>
            <w:r w:rsidR="00C6310B">
              <w:rPr>
                <w:rFonts w:eastAsia="Times New Roman"/>
                <w:color w:val="000000"/>
                <w:sz w:val="20"/>
                <w:szCs w:val="20"/>
              </w:rPr>
              <w:t xml:space="preserve"> (Local): </w:t>
            </w:r>
            <w:r w:rsidR="005537AC">
              <w:rPr>
                <w:rFonts w:eastAsia="Times New Roman"/>
                <w:color w:val="000000"/>
                <w:sz w:val="20"/>
                <w:szCs w:val="20"/>
              </w:rPr>
              <w:t>Mayoralty</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admin5</w:t>
            </w:r>
          </w:p>
        </w:tc>
        <w:tc>
          <w:tcPr>
            <w:tcW w:w="7065" w:type="dxa"/>
            <w:shd w:val="clear" w:color="auto" w:fill="auto"/>
            <w:noWrap/>
            <w:vAlign w:val="bottom"/>
            <w:hideMark/>
          </w:tcPr>
          <w:p w:rsidR="00C6310B" w:rsidRPr="00BB3F07" w:rsidRDefault="00A66831" w:rsidP="00D6550D">
            <w:pPr>
              <w:rPr>
                <w:rFonts w:eastAsia="Times New Roman"/>
                <w:color w:val="000000"/>
                <w:sz w:val="20"/>
                <w:szCs w:val="20"/>
              </w:rPr>
            </w:pPr>
            <w:r>
              <w:rPr>
                <w:rFonts w:eastAsia="Times New Roman"/>
                <w:color w:val="000000"/>
                <w:sz w:val="20"/>
                <w:szCs w:val="20"/>
              </w:rPr>
              <w:t>Level 5</w:t>
            </w:r>
            <w:r w:rsidR="00C6310B">
              <w:rPr>
                <w:rFonts w:eastAsia="Times New Roman"/>
                <w:color w:val="000000"/>
                <w:sz w:val="20"/>
                <w:szCs w:val="20"/>
              </w:rPr>
              <w:t xml:space="preserve"> (Local): </w:t>
            </w:r>
            <w:r w:rsidR="00C6310B" w:rsidRPr="00BB3F07">
              <w:rPr>
                <w:rFonts w:eastAsia="Times New Roman"/>
                <w:color w:val="000000"/>
                <w:sz w:val="20"/>
                <w:szCs w:val="20"/>
              </w:rPr>
              <w:t>Local Government Institution</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admin6</w:t>
            </w:r>
          </w:p>
        </w:tc>
        <w:tc>
          <w:tcPr>
            <w:tcW w:w="7065" w:type="dxa"/>
            <w:shd w:val="clear" w:color="auto" w:fill="auto"/>
            <w:noWrap/>
            <w:vAlign w:val="bottom"/>
            <w:hideMark/>
          </w:tcPr>
          <w:p w:rsidR="00C6310B" w:rsidRPr="00BB3F07" w:rsidRDefault="00C6310B" w:rsidP="00BB3F07">
            <w:pPr>
              <w:rPr>
                <w:rFonts w:eastAsia="Times New Roman"/>
                <w:color w:val="000000"/>
                <w:sz w:val="20"/>
                <w:szCs w:val="20"/>
              </w:rPr>
            </w:pPr>
            <w:r w:rsidRPr="00BB3F07">
              <w:rPr>
                <w:rFonts w:eastAsia="Times New Roman"/>
                <w:color w:val="000000"/>
                <w:sz w:val="20"/>
                <w:szCs w:val="20"/>
              </w:rPr>
              <w:t>Institution Type</w:t>
            </w:r>
            <w:r w:rsidR="00764BDC">
              <w:rPr>
                <w:rFonts w:eastAsia="Times New Roman"/>
                <w:color w:val="000000"/>
                <w:sz w:val="20"/>
                <w:szCs w:val="20"/>
              </w:rPr>
              <w:t xml:space="preserve"> (available in the old budget classification prior to 2016)</w:t>
            </w:r>
          </w:p>
        </w:tc>
      </w:tr>
      <w:tr w:rsidR="00C6310B" w:rsidRPr="00BB3F07" w:rsidTr="00402866">
        <w:trPr>
          <w:trHeight w:val="255"/>
          <w:jc w:val="center"/>
        </w:trPr>
        <w:tc>
          <w:tcPr>
            <w:tcW w:w="9180" w:type="dxa"/>
            <w:gridSpan w:val="2"/>
            <w:shd w:val="clear" w:color="auto" w:fill="auto"/>
            <w:noWrap/>
            <w:vAlign w:val="bottom"/>
            <w:hideMark/>
          </w:tcPr>
          <w:p w:rsidR="00C6310B" w:rsidRDefault="00C6310B" w:rsidP="00AB18ED">
            <w:pPr>
              <w:jc w:val="center"/>
              <w:rPr>
                <w:rFonts w:eastAsia="Times New Roman"/>
                <w:b/>
                <w:i/>
                <w:color w:val="000000"/>
                <w:sz w:val="20"/>
                <w:szCs w:val="20"/>
              </w:rPr>
            </w:pPr>
            <w:r w:rsidRPr="001B6791">
              <w:rPr>
                <w:rFonts w:eastAsia="Times New Roman"/>
                <w:b/>
                <w:i/>
                <w:color w:val="000000"/>
                <w:sz w:val="20"/>
                <w:szCs w:val="20"/>
              </w:rPr>
              <w:t>Functional Classification Variables</w:t>
            </w:r>
          </w:p>
          <w:p w:rsidR="00855DD6" w:rsidRPr="001B6791" w:rsidRDefault="00855DD6" w:rsidP="00AB18ED">
            <w:pPr>
              <w:jc w:val="center"/>
              <w:rPr>
                <w:rFonts w:eastAsia="Times New Roman"/>
                <w:b/>
                <w:color w:val="000000"/>
                <w:sz w:val="20"/>
                <w:szCs w:val="20"/>
              </w:rPr>
            </w:pP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func1</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1: </w:t>
            </w:r>
            <w:r w:rsidRPr="00BB3F07">
              <w:rPr>
                <w:rFonts w:eastAsia="Times New Roman"/>
                <w:color w:val="000000"/>
                <w:sz w:val="20"/>
                <w:szCs w:val="20"/>
              </w:rPr>
              <w:t>Main Group</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func2</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2: </w:t>
            </w:r>
            <w:r w:rsidRPr="00BB3F07">
              <w:rPr>
                <w:rFonts w:eastAsia="Times New Roman"/>
                <w:color w:val="000000"/>
                <w:sz w:val="20"/>
                <w:szCs w:val="20"/>
              </w:rPr>
              <w:t>Group</w:t>
            </w:r>
          </w:p>
        </w:tc>
      </w:tr>
      <w:tr w:rsidR="00A66831" w:rsidRPr="00BB3F07" w:rsidTr="00402866">
        <w:trPr>
          <w:trHeight w:val="255"/>
          <w:jc w:val="center"/>
        </w:trPr>
        <w:tc>
          <w:tcPr>
            <w:tcW w:w="2115" w:type="dxa"/>
            <w:shd w:val="clear" w:color="auto" w:fill="auto"/>
            <w:noWrap/>
            <w:vAlign w:val="bottom"/>
          </w:tcPr>
          <w:p w:rsidR="00A66831" w:rsidRPr="00BB3F07" w:rsidRDefault="00A01C55" w:rsidP="00D6550D">
            <w:pPr>
              <w:jc w:val="center"/>
              <w:rPr>
                <w:rFonts w:eastAsia="Times New Roman"/>
                <w:color w:val="000000"/>
                <w:sz w:val="20"/>
                <w:szCs w:val="20"/>
              </w:rPr>
            </w:pPr>
            <w:r>
              <w:rPr>
                <w:rFonts w:eastAsia="Times New Roman"/>
                <w:color w:val="000000"/>
                <w:sz w:val="20"/>
                <w:szCs w:val="20"/>
              </w:rPr>
              <w:t>func3</w:t>
            </w:r>
          </w:p>
        </w:tc>
        <w:tc>
          <w:tcPr>
            <w:tcW w:w="7065" w:type="dxa"/>
            <w:shd w:val="clear" w:color="auto" w:fill="auto"/>
            <w:noWrap/>
            <w:vAlign w:val="bottom"/>
          </w:tcPr>
          <w:p w:rsidR="00A66831" w:rsidRDefault="00F820CD" w:rsidP="00D6550D">
            <w:pPr>
              <w:rPr>
                <w:rFonts w:eastAsia="Times New Roman"/>
                <w:color w:val="000000"/>
                <w:sz w:val="20"/>
                <w:szCs w:val="20"/>
              </w:rPr>
            </w:pPr>
            <w:r>
              <w:rPr>
                <w:rFonts w:eastAsia="Times New Roman"/>
                <w:color w:val="000000"/>
                <w:sz w:val="20"/>
                <w:szCs w:val="20"/>
              </w:rPr>
              <w:t xml:space="preserve">Level 2: Sub-group </w:t>
            </w:r>
          </w:p>
        </w:tc>
      </w:tr>
      <w:tr w:rsidR="00A66831" w:rsidRPr="00BB3F07" w:rsidTr="00402866">
        <w:trPr>
          <w:trHeight w:val="255"/>
          <w:jc w:val="center"/>
        </w:trPr>
        <w:tc>
          <w:tcPr>
            <w:tcW w:w="2115" w:type="dxa"/>
            <w:shd w:val="clear" w:color="auto" w:fill="auto"/>
            <w:noWrap/>
            <w:vAlign w:val="bottom"/>
          </w:tcPr>
          <w:p w:rsidR="00A66831" w:rsidRPr="00BB3F07" w:rsidRDefault="00A01C55" w:rsidP="00D6550D">
            <w:pPr>
              <w:jc w:val="center"/>
              <w:rPr>
                <w:rFonts w:eastAsia="Times New Roman"/>
                <w:color w:val="000000"/>
                <w:sz w:val="20"/>
                <w:szCs w:val="20"/>
              </w:rPr>
            </w:pPr>
            <w:r>
              <w:rPr>
                <w:rFonts w:eastAsia="Times New Roman"/>
                <w:color w:val="000000"/>
                <w:sz w:val="20"/>
                <w:szCs w:val="20"/>
              </w:rPr>
              <w:t>func1_old</w:t>
            </w:r>
          </w:p>
        </w:tc>
        <w:tc>
          <w:tcPr>
            <w:tcW w:w="7065" w:type="dxa"/>
            <w:shd w:val="clear" w:color="auto" w:fill="auto"/>
            <w:noWrap/>
            <w:vAlign w:val="bottom"/>
          </w:tcPr>
          <w:p w:rsidR="00A66831" w:rsidRDefault="00A01C55" w:rsidP="00D6550D">
            <w:pPr>
              <w:rPr>
                <w:rFonts w:eastAsia="Times New Roman"/>
                <w:color w:val="000000"/>
                <w:sz w:val="20"/>
                <w:szCs w:val="20"/>
              </w:rPr>
            </w:pPr>
            <w:r>
              <w:rPr>
                <w:rFonts w:eastAsia="Times New Roman"/>
                <w:color w:val="000000"/>
                <w:sz w:val="20"/>
                <w:szCs w:val="20"/>
              </w:rPr>
              <w:t xml:space="preserve">Level 1: </w:t>
            </w:r>
            <w:r w:rsidRPr="00BB3F07">
              <w:rPr>
                <w:rFonts w:eastAsia="Times New Roman"/>
                <w:color w:val="000000"/>
                <w:sz w:val="20"/>
                <w:szCs w:val="20"/>
              </w:rPr>
              <w:t>Main Group</w:t>
            </w:r>
            <w:r w:rsidR="00F820CD">
              <w:rPr>
                <w:rFonts w:eastAsia="Times New Roman"/>
                <w:color w:val="000000"/>
                <w:sz w:val="20"/>
                <w:szCs w:val="20"/>
              </w:rPr>
              <w:t xml:space="preserve"> (available in the old budget classification prior to 2016) </w:t>
            </w:r>
          </w:p>
        </w:tc>
      </w:tr>
      <w:tr w:rsidR="00A66831" w:rsidRPr="00BB3F07" w:rsidTr="00402866">
        <w:trPr>
          <w:trHeight w:val="255"/>
          <w:jc w:val="center"/>
        </w:trPr>
        <w:tc>
          <w:tcPr>
            <w:tcW w:w="2115" w:type="dxa"/>
            <w:shd w:val="clear" w:color="auto" w:fill="auto"/>
            <w:noWrap/>
            <w:vAlign w:val="bottom"/>
          </w:tcPr>
          <w:p w:rsidR="00A66831" w:rsidRPr="00BB3F07" w:rsidRDefault="00A01C55" w:rsidP="00D6550D">
            <w:pPr>
              <w:jc w:val="center"/>
              <w:rPr>
                <w:rFonts w:eastAsia="Times New Roman"/>
                <w:color w:val="000000"/>
                <w:sz w:val="20"/>
                <w:szCs w:val="20"/>
              </w:rPr>
            </w:pPr>
            <w:r>
              <w:rPr>
                <w:rFonts w:eastAsia="Times New Roman"/>
                <w:color w:val="000000"/>
                <w:sz w:val="20"/>
                <w:szCs w:val="20"/>
              </w:rPr>
              <w:t>func2_old</w:t>
            </w:r>
          </w:p>
        </w:tc>
        <w:tc>
          <w:tcPr>
            <w:tcW w:w="7065" w:type="dxa"/>
            <w:shd w:val="clear" w:color="auto" w:fill="auto"/>
            <w:noWrap/>
            <w:vAlign w:val="bottom"/>
          </w:tcPr>
          <w:p w:rsidR="00A66831" w:rsidRDefault="00A01C55" w:rsidP="00D6550D">
            <w:pPr>
              <w:rPr>
                <w:rFonts w:eastAsia="Times New Roman"/>
                <w:color w:val="000000"/>
                <w:sz w:val="20"/>
                <w:szCs w:val="20"/>
              </w:rPr>
            </w:pPr>
            <w:r>
              <w:rPr>
                <w:rFonts w:eastAsia="Times New Roman"/>
                <w:color w:val="000000"/>
                <w:sz w:val="20"/>
                <w:szCs w:val="20"/>
              </w:rPr>
              <w:t xml:space="preserve">Level 2: </w:t>
            </w:r>
            <w:r w:rsidRPr="00BB3F07">
              <w:rPr>
                <w:rFonts w:eastAsia="Times New Roman"/>
                <w:color w:val="000000"/>
                <w:sz w:val="20"/>
                <w:szCs w:val="20"/>
              </w:rPr>
              <w:t>Group</w:t>
            </w:r>
            <w:r w:rsidR="00FA31B4">
              <w:rPr>
                <w:rFonts w:eastAsia="Times New Roman"/>
                <w:color w:val="000000"/>
                <w:sz w:val="20"/>
                <w:szCs w:val="20"/>
              </w:rPr>
              <w:t xml:space="preserve"> (available in the old budget classification prior to 2016) </w:t>
            </w:r>
          </w:p>
        </w:tc>
      </w:tr>
      <w:tr w:rsidR="00C6310B" w:rsidRPr="00BB3F07" w:rsidTr="00402866">
        <w:trPr>
          <w:trHeight w:val="255"/>
          <w:jc w:val="center"/>
        </w:trPr>
        <w:tc>
          <w:tcPr>
            <w:tcW w:w="9180" w:type="dxa"/>
            <w:gridSpan w:val="2"/>
            <w:shd w:val="clear" w:color="auto" w:fill="auto"/>
            <w:noWrap/>
            <w:vAlign w:val="bottom"/>
            <w:hideMark/>
          </w:tcPr>
          <w:p w:rsidR="00C6310B" w:rsidRDefault="00C6310B" w:rsidP="00AB18ED">
            <w:pPr>
              <w:jc w:val="center"/>
              <w:rPr>
                <w:rFonts w:eastAsia="Times New Roman"/>
                <w:b/>
                <w:i/>
                <w:color w:val="000000"/>
                <w:sz w:val="20"/>
                <w:szCs w:val="20"/>
              </w:rPr>
            </w:pPr>
            <w:r w:rsidRPr="001B6791">
              <w:rPr>
                <w:rFonts w:eastAsia="Times New Roman"/>
                <w:b/>
                <w:i/>
                <w:color w:val="000000"/>
                <w:sz w:val="20"/>
                <w:szCs w:val="20"/>
              </w:rPr>
              <w:t>Economic Classification Variables</w:t>
            </w:r>
          </w:p>
          <w:p w:rsidR="00855DD6" w:rsidRPr="001B6791" w:rsidRDefault="00855DD6" w:rsidP="00AB18ED">
            <w:pPr>
              <w:jc w:val="center"/>
              <w:rPr>
                <w:rFonts w:eastAsia="Times New Roman"/>
                <w:b/>
                <w:color w:val="000000"/>
                <w:sz w:val="20"/>
                <w:szCs w:val="20"/>
              </w:rPr>
            </w:pPr>
          </w:p>
        </w:tc>
      </w:tr>
      <w:tr w:rsidR="00855DD6" w:rsidRPr="00BB3F07" w:rsidTr="00402866">
        <w:trPr>
          <w:trHeight w:val="255"/>
          <w:jc w:val="center"/>
        </w:trPr>
        <w:tc>
          <w:tcPr>
            <w:tcW w:w="2115" w:type="dxa"/>
            <w:shd w:val="clear" w:color="auto" w:fill="auto"/>
            <w:noWrap/>
            <w:vAlign w:val="bottom"/>
          </w:tcPr>
          <w:p w:rsidR="00855DD6" w:rsidRPr="00BB3F07" w:rsidRDefault="00855DD6" w:rsidP="00855DD6">
            <w:pPr>
              <w:jc w:val="center"/>
              <w:rPr>
                <w:rFonts w:eastAsia="Times New Roman"/>
                <w:color w:val="000000"/>
                <w:sz w:val="20"/>
                <w:szCs w:val="20"/>
              </w:rPr>
            </w:pPr>
            <w:r>
              <w:rPr>
                <w:rFonts w:eastAsia="Times New Roman"/>
                <w:color w:val="000000"/>
                <w:sz w:val="20"/>
                <w:szCs w:val="20"/>
              </w:rPr>
              <w:t>econ0</w:t>
            </w:r>
          </w:p>
        </w:tc>
        <w:tc>
          <w:tcPr>
            <w:tcW w:w="7065" w:type="dxa"/>
            <w:shd w:val="clear" w:color="auto" w:fill="auto"/>
            <w:noWrap/>
            <w:vAlign w:val="bottom"/>
          </w:tcPr>
          <w:p w:rsidR="00855DD6" w:rsidRDefault="00855DD6" w:rsidP="00855DD6">
            <w:pPr>
              <w:rPr>
                <w:rFonts w:eastAsia="Times New Roman"/>
                <w:color w:val="000000"/>
                <w:sz w:val="20"/>
                <w:szCs w:val="20"/>
              </w:rPr>
            </w:pPr>
            <w:r>
              <w:rPr>
                <w:color w:val="000000"/>
                <w:sz w:val="20"/>
                <w:szCs w:val="20"/>
              </w:rPr>
              <w:t xml:space="preserve">Level 0: Filter </w:t>
            </w:r>
            <w:r w:rsidR="007A1C2B">
              <w:rPr>
                <w:color w:val="000000"/>
                <w:sz w:val="20"/>
                <w:szCs w:val="20"/>
              </w:rPr>
              <w:t>–</w:t>
            </w:r>
            <w:r>
              <w:rPr>
                <w:color w:val="000000"/>
                <w:sz w:val="20"/>
                <w:szCs w:val="20"/>
              </w:rPr>
              <w:t xml:space="preserve"> </w:t>
            </w:r>
            <w:r w:rsidR="007A1C2B">
              <w:rPr>
                <w:color w:val="000000"/>
                <w:sz w:val="20"/>
                <w:szCs w:val="20"/>
              </w:rPr>
              <w:t xml:space="preserve">Revenues/Expenditures -- </w:t>
            </w:r>
            <w:r>
              <w:rPr>
                <w:color w:val="000000"/>
                <w:sz w:val="20"/>
                <w:szCs w:val="20"/>
              </w:rPr>
              <w:t>Economic Classification (Level 0)</w:t>
            </w:r>
          </w:p>
        </w:tc>
      </w:tr>
      <w:tr w:rsidR="00D53537" w:rsidRPr="00BB3F07" w:rsidTr="00402866">
        <w:trPr>
          <w:trHeight w:val="255"/>
          <w:jc w:val="center"/>
        </w:trPr>
        <w:tc>
          <w:tcPr>
            <w:tcW w:w="2115" w:type="dxa"/>
            <w:shd w:val="clear" w:color="auto" w:fill="auto"/>
            <w:noWrap/>
            <w:vAlign w:val="bottom"/>
            <w:hideMark/>
          </w:tcPr>
          <w:p w:rsidR="00D53537" w:rsidRPr="00BB3F07" w:rsidRDefault="00D53537" w:rsidP="00D53537">
            <w:pPr>
              <w:jc w:val="center"/>
              <w:rPr>
                <w:rFonts w:eastAsia="Times New Roman"/>
                <w:color w:val="000000"/>
                <w:sz w:val="20"/>
                <w:szCs w:val="20"/>
              </w:rPr>
            </w:pPr>
            <w:r w:rsidRPr="00BB3F07">
              <w:rPr>
                <w:rFonts w:eastAsia="Times New Roman"/>
                <w:color w:val="000000"/>
                <w:sz w:val="20"/>
                <w:szCs w:val="20"/>
              </w:rPr>
              <w:t>econ1</w:t>
            </w:r>
          </w:p>
        </w:tc>
        <w:tc>
          <w:tcPr>
            <w:tcW w:w="7065" w:type="dxa"/>
            <w:shd w:val="clear" w:color="auto" w:fill="auto"/>
            <w:noWrap/>
            <w:vAlign w:val="bottom"/>
            <w:hideMark/>
          </w:tcPr>
          <w:p w:rsidR="00D53537" w:rsidRDefault="001B6791" w:rsidP="00D53537">
            <w:pPr>
              <w:rPr>
                <w:rFonts w:eastAsia="Times New Roman"/>
                <w:color w:val="000000"/>
                <w:sz w:val="20"/>
                <w:szCs w:val="20"/>
              </w:rPr>
            </w:pPr>
            <w:r>
              <w:rPr>
                <w:color w:val="000000"/>
                <w:sz w:val="20"/>
                <w:szCs w:val="20"/>
              </w:rPr>
              <w:t xml:space="preserve">Level 1: </w:t>
            </w:r>
            <w:r w:rsidR="00D53537">
              <w:rPr>
                <w:color w:val="000000"/>
                <w:sz w:val="20"/>
                <w:szCs w:val="20"/>
              </w:rPr>
              <w:t>Type -- Economic Classification (Level 1)</w:t>
            </w:r>
          </w:p>
        </w:tc>
      </w:tr>
      <w:tr w:rsidR="00D53537" w:rsidRPr="00BB3F07" w:rsidTr="00402866">
        <w:trPr>
          <w:trHeight w:val="255"/>
          <w:jc w:val="center"/>
        </w:trPr>
        <w:tc>
          <w:tcPr>
            <w:tcW w:w="2115" w:type="dxa"/>
            <w:shd w:val="clear" w:color="auto" w:fill="auto"/>
            <w:noWrap/>
            <w:vAlign w:val="bottom"/>
            <w:hideMark/>
          </w:tcPr>
          <w:p w:rsidR="00D53537" w:rsidRPr="00BB3F07" w:rsidRDefault="00D53537" w:rsidP="00D53537">
            <w:pPr>
              <w:jc w:val="center"/>
              <w:rPr>
                <w:rFonts w:eastAsia="Times New Roman"/>
                <w:color w:val="000000"/>
                <w:sz w:val="20"/>
                <w:szCs w:val="20"/>
              </w:rPr>
            </w:pPr>
            <w:r w:rsidRPr="00BB3F07">
              <w:rPr>
                <w:rFonts w:eastAsia="Times New Roman"/>
                <w:color w:val="000000"/>
                <w:sz w:val="20"/>
                <w:szCs w:val="20"/>
              </w:rPr>
              <w:t>econ2</w:t>
            </w:r>
          </w:p>
        </w:tc>
        <w:tc>
          <w:tcPr>
            <w:tcW w:w="7065" w:type="dxa"/>
            <w:shd w:val="clear" w:color="auto" w:fill="auto"/>
            <w:noWrap/>
            <w:vAlign w:val="bottom"/>
            <w:hideMark/>
          </w:tcPr>
          <w:p w:rsidR="00D53537" w:rsidRDefault="001B6791" w:rsidP="00D53537">
            <w:pPr>
              <w:rPr>
                <w:color w:val="000000"/>
                <w:sz w:val="20"/>
                <w:szCs w:val="20"/>
              </w:rPr>
            </w:pPr>
            <w:r>
              <w:rPr>
                <w:color w:val="000000"/>
                <w:sz w:val="20"/>
                <w:szCs w:val="20"/>
              </w:rPr>
              <w:t xml:space="preserve">Level 2: </w:t>
            </w:r>
            <w:r w:rsidR="00D53537">
              <w:rPr>
                <w:color w:val="000000"/>
                <w:sz w:val="20"/>
                <w:szCs w:val="20"/>
              </w:rPr>
              <w:t>Category -- Economic Classification (Level 2)</w:t>
            </w:r>
          </w:p>
        </w:tc>
      </w:tr>
      <w:tr w:rsidR="00D53537" w:rsidRPr="00BB3F07" w:rsidTr="00402866">
        <w:trPr>
          <w:trHeight w:val="255"/>
          <w:jc w:val="center"/>
        </w:trPr>
        <w:tc>
          <w:tcPr>
            <w:tcW w:w="2115" w:type="dxa"/>
            <w:shd w:val="clear" w:color="auto" w:fill="auto"/>
            <w:noWrap/>
            <w:vAlign w:val="bottom"/>
          </w:tcPr>
          <w:p w:rsidR="00D53537" w:rsidRPr="00BB3F07" w:rsidRDefault="00D53537" w:rsidP="00D53537">
            <w:pPr>
              <w:jc w:val="center"/>
              <w:rPr>
                <w:rFonts w:eastAsia="Times New Roman"/>
                <w:color w:val="000000"/>
                <w:sz w:val="20"/>
                <w:szCs w:val="20"/>
              </w:rPr>
            </w:pPr>
            <w:r>
              <w:rPr>
                <w:rFonts w:eastAsia="Times New Roman"/>
                <w:color w:val="000000"/>
                <w:sz w:val="20"/>
                <w:szCs w:val="20"/>
              </w:rPr>
              <w:t>econ3</w:t>
            </w:r>
          </w:p>
        </w:tc>
        <w:tc>
          <w:tcPr>
            <w:tcW w:w="7065" w:type="dxa"/>
            <w:shd w:val="clear" w:color="auto" w:fill="auto"/>
            <w:noWrap/>
            <w:vAlign w:val="bottom"/>
          </w:tcPr>
          <w:p w:rsidR="00D53537" w:rsidRDefault="001B6791" w:rsidP="00D53537">
            <w:pPr>
              <w:rPr>
                <w:color w:val="000000"/>
                <w:sz w:val="20"/>
                <w:szCs w:val="20"/>
              </w:rPr>
            </w:pPr>
            <w:r>
              <w:rPr>
                <w:color w:val="000000"/>
                <w:sz w:val="20"/>
                <w:szCs w:val="20"/>
              </w:rPr>
              <w:t xml:space="preserve">Level 3: </w:t>
            </w:r>
            <w:r w:rsidR="00D53537">
              <w:rPr>
                <w:color w:val="000000"/>
                <w:sz w:val="20"/>
                <w:szCs w:val="20"/>
              </w:rPr>
              <w:t>Chapter -- Economic Classification (Level 3)</w:t>
            </w:r>
          </w:p>
        </w:tc>
      </w:tr>
      <w:tr w:rsidR="00D53537" w:rsidRPr="00BB3F07" w:rsidTr="00402866">
        <w:trPr>
          <w:trHeight w:val="255"/>
          <w:jc w:val="center"/>
        </w:trPr>
        <w:tc>
          <w:tcPr>
            <w:tcW w:w="2115" w:type="dxa"/>
            <w:shd w:val="clear" w:color="auto" w:fill="auto"/>
            <w:noWrap/>
            <w:vAlign w:val="bottom"/>
          </w:tcPr>
          <w:p w:rsidR="00D53537" w:rsidRPr="00BB3F07" w:rsidRDefault="00D53537" w:rsidP="00D53537">
            <w:pPr>
              <w:jc w:val="center"/>
              <w:rPr>
                <w:rFonts w:eastAsia="Times New Roman"/>
                <w:color w:val="000000"/>
                <w:sz w:val="20"/>
                <w:szCs w:val="20"/>
              </w:rPr>
            </w:pPr>
            <w:r>
              <w:rPr>
                <w:rFonts w:eastAsia="Times New Roman"/>
                <w:color w:val="000000"/>
                <w:sz w:val="20"/>
                <w:szCs w:val="20"/>
              </w:rPr>
              <w:t>econ4</w:t>
            </w:r>
          </w:p>
        </w:tc>
        <w:tc>
          <w:tcPr>
            <w:tcW w:w="7065" w:type="dxa"/>
            <w:shd w:val="clear" w:color="auto" w:fill="auto"/>
            <w:noWrap/>
            <w:vAlign w:val="bottom"/>
          </w:tcPr>
          <w:p w:rsidR="00D53537" w:rsidRDefault="002F0037" w:rsidP="00D53537">
            <w:pPr>
              <w:rPr>
                <w:color w:val="000000"/>
                <w:sz w:val="20"/>
                <w:szCs w:val="20"/>
              </w:rPr>
            </w:pPr>
            <w:r>
              <w:rPr>
                <w:color w:val="000000"/>
                <w:sz w:val="20"/>
                <w:szCs w:val="20"/>
              </w:rPr>
              <w:t xml:space="preserve">Level 4: </w:t>
            </w:r>
            <w:r w:rsidR="00D53537">
              <w:rPr>
                <w:color w:val="000000"/>
                <w:sz w:val="20"/>
                <w:szCs w:val="20"/>
              </w:rPr>
              <w:t>Paragraph-- Economic Classification (Level 4)</w:t>
            </w:r>
          </w:p>
        </w:tc>
      </w:tr>
      <w:tr w:rsidR="00D53537" w:rsidRPr="00BB3F07" w:rsidTr="00402866">
        <w:trPr>
          <w:trHeight w:val="255"/>
          <w:jc w:val="center"/>
        </w:trPr>
        <w:tc>
          <w:tcPr>
            <w:tcW w:w="2115" w:type="dxa"/>
            <w:shd w:val="clear" w:color="auto" w:fill="auto"/>
            <w:noWrap/>
            <w:vAlign w:val="bottom"/>
          </w:tcPr>
          <w:p w:rsidR="00D53537" w:rsidRPr="00BB3F07" w:rsidRDefault="00D53537" w:rsidP="00D53537">
            <w:pPr>
              <w:jc w:val="center"/>
              <w:rPr>
                <w:rFonts w:eastAsia="Times New Roman"/>
                <w:color w:val="000000"/>
                <w:sz w:val="20"/>
                <w:szCs w:val="20"/>
              </w:rPr>
            </w:pPr>
            <w:r>
              <w:rPr>
                <w:rFonts w:eastAsia="Times New Roman"/>
                <w:color w:val="000000"/>
                <w:sz w:val="20"/>
                <w:szCs w:val="20"/>
              </w:rPr>
              <w:t>econ5</w:t>
            </w:r>
          </w:p>
        </w:tc>
        <w:tc>
          <w:tcPr>
            <w:tcW w:w="7065" w:type="dxa"/>
            <w:shd w:val="clear" w:color="auto" w:fill="auto"/>
            <w:noWrap/>
            <w:vAlign w:val="bottom"/>
          </w:tcPr>
          <w:p w:rsidR="00D53537" w:rsidRDefault="002F0037" w:rsidP="00D53537">
            <w:pPr>
              <w:rPr>
                <w:color w:val="000000"/>
                <w:sz w:val="20"/>
                <w:szCs w:val="20"/>
              </w:rPr>
            </w:pPr>
            <w:r>
              <w:rPr>
                <w:color w:val="000000"/>
                <w:sz w:val="20"/>
                <w:szCs w:val="20"/>
              </w:rPr>
              <w:t xml:space="preserve">Level 5: </w:t>
            </w:r>
            <w:r w:rsidR="00D53537">
              <w:rPr>
                <w:color w:val="000000"/>
                <w:sz w:val="20"/>
                <w:szCs w:val="20"/>
              </w:rPr>
              <w:t>Article -- Economic Classification (Level 5)</w:t>
            </w:r>
          </w:p>
        </w:tc>
      </w:tr>
      <w:tr w:rsidR="00D53537" w:rsidRPr="00BB3F07" w:rsidTr="00402866">
        <w:trPr>
          <w:trHeight w:val="255"/>
          <w:jc w:val="center"/>
        </w:trPr>
        <w:tc>
          <w:tcPr>
            <w:tcW w:w="2115" w:type="dxa"/>
            <w:shd w:val="clear" w:color="auto" w:fill="auto"/>
            <w:noWrap/>
            <w:vAlign w:val="bottom"/>
          </w:tcPr>
          <w:p w:rsidR="00D53537" w:rsidRPr="00BB3F07" w:rsidRDefault="00D53537" w:rsidP="00D53537">
            <w:pPr>
              <w:jc w:val="center"/>
              <w:rPr>
                <w:rFonts w:eastAsia="Times New Roman"/>
                <w:color w:val="000000"/>
                <w:sz w:val="20"/>
                <w:szCs w:val="20"/>
              </w:rPr>
            </w:pPr>
            <w:r>
              <w:rPr>
                <w:rFonts w:eastAsia="Times New Roman"/>
                <w:color w:val="000000"/>
                <w:sz w:val="20"/>
                <w:szCs w:val="20"/>
              </w:rPr>
              <w:t>econ6</w:t>
            </w:r>
          </w:p>
        </w:tc>
        <w:tc>
          <w:tcPr>
            <w:tcW w:w="7065" w:type="dxa"/>
            <w:shd w:val="clear" w:color="auto" w:fill="auto"/>
            <w:noWrap/>
            <w:vAlign w:val="bottom"/>
          </w:tcPr>
          <w:p w:rsidR="00D53537" w:rsidRDefault="002F0037" w:rsidP="00D53537">
            <w:pPr>
              <w:rPr>
                <w:color w:val="000000"/>
                <w:sz w:val="20"/>
                <w:szCs w:val="20"/>
              </w:rPr>
            </w:pPr>
            <w:r>
              <w:rPr>
                <w:color w:val="000000"/>
                <w:sz w:val="20"/>
                <w:szCs w:val="20"/>
              </w:rPr>
              <w:t xml:space="preserve">Level 6: </w:t>
            </w:r>
            <w:r w:rsidR="00D53537">
              <w:rPr>
                <w:color w:val="000000"/>
                <w:sz w:val="20"/>
                <w:szCs w:val="20"/>
              </w:rPr>
              <w:t>Line Item -- Economic Classification (Level 6)</w:t>
            </w:r>
          </w:p>
        </w:tc>
      </w:tr>
      <w:tr w:rsidR="00AB18ED" w:rsidRPr="00BB3F07" w:rsidTr="00402866">
        <w:trPr>
          <w:trHeight w:val="255"/>
          <w:jc w:val="center"/>
        </w:trPr>
        <w:tc>
          <w:tcPr>
            <w:tcW w:w="2115" w:type="dxa"/>
            <w:shd w:val="clear" w:color="auto" w:fill="auto"/>
            <w:noWrap/>
            <w:vAlign w:val="bottom"/>
          </w:tcPr>
          <w:p w:rsidR="00AB18ED" w:rsidRPr="00BB3F07" w:rsidRDefault="00AB18ED" w:rsidP="00AB18ED">
            <w:pPr>
              <w:jc w:val="center"/>
              <w:rPr>
                <w:rFonts w:eastAsia="Times New Roman"/>
                <w:color w:val="000000"/>
                <w:sz w:val="20"/>
                <w:szCs w:val="20"/>
              </w:rPr>
            </w:pPr>
            <w:r>
              <w:rPr>
                <w:rFonts w:eastAsia="Times New Roman"/>
                <w:color w:val="000000"/>
                <w:sz w:val="20"/>
                <w:szCs w:val="20"/>
              </w:rPr>
              <w:t>econ1_old</w:t>
            </w:r>
          </w:p>
        </w:tc>
        <w:tc>
          <w:tcPr>
            <w:tcW w:w="7065" w:type="dxa"/>
            <w:shd w:val="clear" w:color="auto" w:fill="auto"/>
            <w:noWrap/>
            <w:vAlign w:val="bottom"/>
          </w:tcPr>
          <w:p w:rsidR="00AB18ED" w:rsidRPr="00BB3F07" w:rsidRDefault="00AB18ED" w:rsidP="00AB18ED">
            <w:pPr>
              <w:rPr>
                <w:rFonts w:eastAsia="Times New Roman"/>
                <w:color w:val="000000"/>
                <w:sz w:val="20"/>
                <w:szCs w:val="20"/>
              </w:rPr>
            </w:pPr>
            <w:r>
              <w:rPr>
                <w:rFonts w:eastAsia="Times New Roman"/>
                <w:color w:val="000000"/>
                <w:sz w:val="20"/>
                <w:szCs w:val="20"/>
              </w:rPr>
              <w:t xml:space="preserve">Level 1: </w:t>
            </w:r>
            <w:r w:rsidRPr="00BB3F07">
              <w:rPr>
                <w:rFonts w:eastAsia="Times New Roman"/>
                <w:color w:val="000000"/>
                <w:sz w:val="20"/>
                <w:szCs w:val="20"/>
              </w:rPr>
              <w:t>Article</w:t>
            </w:r>
            <w:r>
              <w:rPr>
                <w:rFonts w:eastAsia="Times New Roman"/>
                <w:color w:val="000000"/>
                <w:sz w:val="20"/>
                <w:szCs w:val="20"/>
              </w:rPr>
              <w:t xml:space="preserve"> (old budget classification)</w:t>
            </w:r>
          </w:p>
        </w:tc>
      </w:tr>
      <w:tr w:rsidR="00AB18ED" w:rsidRPr="00BB3F07" w:rsidTr="00402866">
        <w:trPr>
          <w:trHeight w:val="255"/>
          <w:jc w:val="center"/>
        </w:trPr>
        <w:tc>
          <w:tcPr>
            <w:tcW w:w="2115" w:type="dxa"/>
            <w:shd w:val="clear" w:color="auto" w:fill="auto"/>
            <w:noWrap/>
            <w:vAlign w:val="bottom"/>
          </w:tcPr>
          <w:p w:rsidR="00AB18ED" w:rsidRPr="00BB3F07" w:rsidRDefault="00AB18ED" w:rsidP="00AB18ED">
            <w:pPr>
              <w:jc w:val="center"/>
              <w:rPr>
                <w:rFonts w:eastAsia="Times New Roman"/>
                <w:color w:val="000000"/>
                <w:sz w:val="20"/>
                <w:szCs w:val="20"/>
              </w:rPr>
            </w:pPr>
            <w:r>
              <w:rPr>
                <w:rFonts w:eastAsia="Times New Roman"/>
                <w:color w:val="000000"/>
                <w:sz w:val="20"/>
                <w:szCs w:val="20"/>
              </w:rPr>
              <w:t>econ2_old</w:t>
            </w:r>
          </w:p>
        </w:tc>
        <w:tc>
          <w:tcPr>
            <w:tcW w:w="7065" w:type="dxa"/>
            <w:shd w:val="clear" w:color="auto" w:fill="auto"/>
            <w:noWrap/>
            <w:vAlign w:val="bottom"/>
          </w:tcPr>
          <w:p w:rsidR="00AB18ED" w:rsidRPr="00BB3F07" w:rsidRDefault="00AB18ED" w:rsidP="00AB18ED">
            <w:pPr>
              <w:rPr>
                <w:rFonts w:eastAsia="Times New Roman"/>
                <w:color w:val="000000"/>
                <w:sz w:val="20"/>
                <w:szCs w:val="20"/>
              </w:rPr>
            </w:pPr>
            <w:r>
              <w:rPr>
                <w:rFonts w:eastAsia="Times New Roman"/>
                <w:color w:val="000000"/>
                <w:sz w:val="20"/>
                <w:szCs w:val="20"/>
              </w:rPr>
              <w:t xml:space="preserve">Level 2: </w:t>
            </w:r>
            <w:r w:rsidRPr="00BB3F07">
              <w:rPr>
                <w:rFonts w:eastAsia="Times New Roman"/>
                <w:color w:val="000000"/>
                <w:sz w:val="20"/>
                <w:szCs w:val="20"/>
              </w:rPr>
              <w:t>Line Item</w:t>
            </w:r>
            <w:r>
              <w:rPr>
                <w:rFonts w:eastAsia="Times New Roman"/>
                <w:color w:val="000000"/>
                <w:sz w:val="20"/>
                <w:szCs w:val="20"/>
              </w:rPr>
              <w:t xml:space="preserve"> (old budget classification) </w:t>
            </w:r>
          </w:p>
        </w:tc>
      </w:tr>
      <w:tr w:rsidR="00C6310B" w:rsidRPr="00BB3F07" w:rsidTr="00402866">
        <w:trPr>
          <w:trHeight w:val="255"/>
          <w:jc w:val="center"/>
        </w:trPr>
        <w:tc>
          <w:tcPr>
            <w:tcW w:w="9180" w:type="dxa"/>
            <w:gridSpan w:val="2"/>
            <w:shd w:val="clear" w:color="auto" w:fill="auto"/>
            <w:noWrap/>
            <w:vAlign w:val="bottom"/>
            <w:hideMark/>
          </w:tcPr>
          <w:p w:rsidR="00C6310B" w:rsidRDefault="00C6310B" w:rsidP="00AB18ED">
            <w:pPr>
              <w:jc w:val="center"/>
              <w:rPr>
                <w:rFonts w:eastAsia="Times New Roman"/>
                <w:b/>
                <w:i/>
                <w:color w:val="000000"/>
                <w:sz w:val="20"/>
                <w:szCs w:val="20"/>
              </w:rPr>
            </w:pPr>
            <w:r w:rsidRPr="001B6791">
              <w:rPr>
                <w:rFonts w:eastAsia="Times New Roman"/>
                <w:b/>
                <w:i/>
                <w:color w:val="000000"/>
                <w:sz w:val="20"/>
                <w:szCs w:val="20"/>
              </w:rPr>
              <w:t>Program Classification Variables</w:t>
            </w:r>
          </w:p>
          <w:p w:rsidR="00855DD6" w:rsidRPr="001B6791" w:rsidRDefault="00855DD6" w:rsidP="00AB18ED">
            <w:pPr>
              <w:jc w:val="center"/>
              <w:rPr>
                <w:rFonts w:eastAsia="Times New Roman"/>
                <w:b/>
                <w:color w:val="000000"/>
                <w:sz w:val="20"/>
                <w:szCs w:val="20"/>
              </w:rPr>
            </w:pP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program1</w:t>
            </w:r>
          </w:p>
        </w:tc>
        <w:tc>
          <w:tcPr>
            <w:tcW w:w="7065" w:type="dxa"/>
            <w:shd w:val="clear" w:color="auto" w:fill="auto"/>
            <w:noWrap/>
            <w:vAlign w:val="bottom"/>
            <w:hideMark/>
          </w:tcPr>
          <w:p w:rsidR="00C6310B" w:rsidRPr="00BB3F07" w:rsidRDefault="00C6310B" w:rsidP="00BB3F07">
            <w:pPr>
              <w:rPr>
                <w:rFonts w:eastAsia="Times New Roman"/>
                <w:color w:val="000000"/>
                <w:sz w:val="20"/>
                <w:szCs w:val="20"/>
              </w:rPr>
            </w:pPr>
            <w:r>
              <w:rPr>
                <w:rFonts w:eastAsia="Times New Roman"/>
                <w:color w:val="000000"/>
                <w:sz w:val="20"/>
                <w:szCs w:val="20"/>
              </w:rPr>
              <w:t>Level 1: Program</w:t>
            </w: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program2</w:t>
            </w:r>
          </w:p>
        </w:tc>
        <w:tc>
          <w:tcPr>
            <w:tcW w:w="7065" w:type="dxa"/>
            <w:shd w:val="clear" w:color="auto" w:fill="auto"/>
            <w:noWrap/>
            <w:vAlign w:val="bottom"/>
            <w:hideMark/>
          </w:tcPr>
          <w:p w:rsidR="00C6310B" w:rsidRPr="00BB3F07" w:rsidRDefault="00C6310B" w:rsidP="00D6550D">
            <w:pPr>
              <w:rPr>
                <w:rFonts w:eastAsia="Times New Roman"/>
                <w:color w:val="000000"/>
                <w:sz w:val="20"/>
                <w:szCs w:val="20"/>
              </w:rPr>
            </w:pPr>
            <w:r>
              <w:rPr>
                <w:rFonts w:eastAsia="Times New Roman"/>
                <w:color w:val="000000"/>
                <w:sz w:val="20"/>
                <w:szCs w:val="20"/>
              </w:rPr>
              <w:t xml:space="preserve">Level 2: </w:t>
            </w:r>
            <w:r w:rsidRPr="00BB3F07">
              <w:rPr>
                <w:rFonts w:eastAsia="Times New Roman"/>
                <w:color w:val="000000"/>
                <w:sz w:val="20"/>
                <w:szCs w:val="20"/>
              </w:rPr>
              <w:t>Subprogram</w:t>
            </w:r>
          </w:p>
        </w:tc>
      </w:tr>
      <w:tr w:rsidR="001B6791" w:rsidRPr="00BB3F07" w:rsidTr="00402866">
        <w:trPr>
          <w:trHeight w:val="255"/>
          <w:jc w:val="center"/>
        </w:trPr>
        <w:tc>
          <w:tcPr>
            <w:tcW w:w="2115" w:type="dxa"/>
            <w:shd w:val="clear" w:color="auto" w:fill="auto"/>
            <w:noWrap/>
            <w:vAlign w:val="bottom"/>
          </w:tcPr>
          <w:p w:rsidR="001B6791" w:rsidRPr="00BB3F07" w:rsidRDefault="00855DD6" w:rsidP="00D6550D">
            <w:pPr>
              <w:jc w:val="center"/>
              <w:rPr>
                <w:rFonts w:eastAsia="Times New Roman"/>
                <w:color w:val="000000"/>
                <w:sz w:val="20"/>
                <w:szCs w:val="20"/>
              </w:rPr>
            </w:pPr>
            <w:r>
              <w:rPr>
                <w:rFonts w:eastAsia="Times New Roman"/>
                <w:color w:val="000000"/>
                <w:sz w:val="20"/>
                <w:szCs w:val="20"/>
              </w:rPr>
              <w:t>activity</w:t>
            </w:r>
          </w:p>
        </w:tc>
        <w:tc>
          <w:tcPr>
            <w:tcW w:w="7065" w:type="dxa"/>
            <w:shd w:val="clear" w:color="auto" w:fill="auto"/>
            <w:noWrap/>
            <w:vAlign w:val="bottom"/>
          </w:tcPr>
          <w:p w:rsidR="001B6791" w:rsidRDefault="00855DD6" w:rsidP="00D6550D">
            <w:pPr>
              <w:rPr>
                <w:rFonts w:eastAsia="Times New Roman"/>
                <w:color w:val="000000"/>
                <w:sz w:val="20"/>
                <w:szCs w:val="20"/>
              </w:rPr>
            </w:pPr>
            <w:r w:rsidRPr="00855DD6">
              <w:rPr>
                <w:rFonts w:eastAsia="Times New Roman"/>
                <w:color w:val="000000"/>
                <w:sz w:val="20"/>
                <w:szCs w:val="20"/>
              </w:rPr>
              <w:t xml:space="preserve">Activity </w:t>
            </w:r>
          </w:p>
        </w:tc>
      </w:tr>
      <w:tr w:rsidR="001B6791" w:rsidRPr="00BB3F07" w:rsidTr="00402866">
        <w:trPr>
          <w:trHeight w:val="255"/>
          <w:jc w:val="center"/>
        </w:trPr>
        <w:tc>
          <w:tcPr>
            <w:tcW w:w="2115" w:type="dxa"/>
            <w:shd w:val="clear" w:color="auto" w:fill="auto"/>
            <w:noWrap/>
            <w:vAlign w:val="bottom"/>
          </w:tcPr>
          <w:p w:rsidR="001B6791" w:rsidRPr="00BB3F07" w:rsidRDefault="00855DD6" w:rsidP="00D6550D">
            <w:pPr>
              <w:jc w:val="center"/>
              <w:rPr>
                <w:rFonts w:eastAsia="Times New Roman"/>
                <w:color w:val="000000"/>
                <w:sz w:val="20"/>
                <w:szCs w:val="20"/>
              </w:rPr>
            </w:pPr>
            <w:r>
              <w:rPr>
                <w:rFonts w:eastAsia="Times New Roman"/>
                <w:color w:val="000000"/>
                <w:sz w:val="20"/>
                <w:szCs w:val="20"/>
              </w:rPr>
              <w:t xml:space="preserve">project </w:t>
            </w:r>
          </w:p>
        </w:tc>
        <w:tc>
          <w:tcPr>
            <w:tcW w:w="7065" w:type="dxa"/>
            <w:shd w:val="clear" w:color="auto" w:fill="auto"/>
            <w:noWrap/>
            <w:vAlign w:val="bottom"/>
          </w:tcPr>
          <w:p w:rsidR="001B6791" w:rsidRDefault="00855DD6" w:rsidP="00D6550D">
            <w:pPr>
              <w:rPr>
                <w:rFonts w:eastAsia="Times New Roman"/>
                <w:color w:val="000000"/>
                <w:sz w:val="20"/>
                <w:szCs w:val="20"/>
              </w:rPr>
            </w:pPr>
            <w:r>
              <w:rPr>
                <w:rFonts w:eastAsia="Times New Roman"/>
                <w:color w:val="000000"/>
                <w:sz w:val="20"/>
                <w:szCs w:val="20"/>
              </w:rPr>
              <w:t xml:space="preserve">Investment project </w:t>
            </w:r>
          </w:p>
        </w:tc>
      </w:tr>
      <w:tr w:rsidR="00C6310B" w:rsidRPr="00BB3F07" w:rsidTr="00402866">
        <w:trPr>
          <w:trHeight w:val="255"/>
          <w:jc w:val="center"/>
        </w:trPr>
        <w:tc>
          <w:tcPr>
            <w:tcW w:w="9180" w:type="dxa"/>
            <w:gridSpan w:val="2"/>
            <w:shd w:val="clear" w:color="auto" w:fill="auto"/>
            <w:noWrap/>
            <w:vAlign w:val="bottom"/>
            <w:hideMark/>
          </w:tcPr>
          <w:p w:rsidR="00C6310B" w:rsidRPr="00855DD6" w:rsidRDefault="00EA5EB0" w:rsidP="00AB18ED">
            <w:pPr>
              <w:jc w:val="center"/>
              <w:rPr>
                <w:rFonts w:eastAsia="Times New Roman"/>
                <w:b/>
                <w:i/>
                <w:color w:val="000000"/>
                <w:sz w:val="20"/>
                <w:szCs w:val="20"/>
              </w:rPr>
            </w:pPr>
            <w:r>
              <w:rPr>
                <w:rFonts w:eastAsia="Times New Roman"/>
                <w:b/>
                <w:i/>
                <w:color w:val="000000"/>
                <w:sz w:val="20"/>
                <w:szCs w:val="20"/>
              </w:rPr>
              <w:t xml:space="preserve">Source of Financing of Government Expenditures </w:t>
            </w:r>
          </w:p>
          <w:p w:rsidR="00855DD6" w:rsidRPr="00605FEC" w:rsidRDefault="00855DD6" w:rsidP="00AB18ED">
            <w:pPr>
              <w:jc w:val="center"/>
              <w:rPr>
                <w:rFonts w:eastAsia="Times New Roman"/>
                <w:i/>
                <w:color w:val="000000"/>
                <w:sz w:val="20"/>
                <w:szCs w:val="20"/>
              </w:rPr>
            </w:pPr>
          </w:p>
        </w:tc>
      </w:tr>
      <w:tr w:rsidR="00C6310B" w:rsidRPr="00BB3F07" w:rsidTr="00402866">
        <w:trPr>
          <w:trHeight w:val="255"/>
          <w:jc w:val="center"/>
        </w:trPr>
        <w:tc>
          <w:tcPr>
            <w:tcW w:w="2115" w:type="dxa"/>
            <w:shd w:val="clear" w:color="auto" w:fill="auto"/>
            <w:noWrap/>
            <w:vAlign w:val="bottom"/>
            <w:hideMark/>
          </w:tcPr>
          <w:p w:rsidR="00C6310B" w:rsidRPr="00BB3F07" w:rsidRDefault="00C6310B" w:rsidP="00D6550D">
            <w:pPr>
              <w:jc w:val="center"/>
              <w:rPr>
                <w:rFonts w:eastAsia="Times New Roman"/>
                <w:color w:val="000000"/>
                <w:sz w:val="20"/>
                <w:szCs w:val="20"/>
              </w:rPr>
            </w:pPr>
            <w:r w:rsidRPr="00BB3F07">
              <w:rPr>
                <w:rFonts w:eastAsia="Times New Roman"/>
                <w:color w:val="000000"/>
                <w:sz w:val="20"/>
                <w:szCs w:val="20"/>
              </w:rPr>
              <w:t>fin_source</w:t>
            </w:r>
            <w:r w:rsidR="00855DD6">
              <w:rPr>
                <w:rFonts w:eastAsia="Times New Roman"/>
                <w:color w:val="000000"/>
                <w:sz w:val="20"/>
                <w:szCs w:val="20"/>
              </w:rPr>
              <w:t>_old</w:t>
            </w:r>
          </w:p>
        </w:tc>
        <w:tc>
          <w:tcPr>
            <w:tcW w:w="7065" w:type="dxa"/>
            <w:shd w:val="clear" w:color="auto" w:fill="auto"/>
            <w:noWrap/>
            <w:vAlign w:val="bottom"/>
            <w:hideMark/>
          </w:tcPr>
          <w:p w:rsidR="00C6310B" w:rsidRPr="00BB3F07" w:rsidRDefault="00C6310B" w:rsidP="00BB3F07">
            <w:pPr>
              <w:rPr>
                <w:rFonts w:eastAsia="Times New Roman"/>
                <w:color w:val="000000"/>
                <w:sz w:val="20"/>
                <w:szCs w:val="20"/>
              </w:rPr>
            </w:pPr>
            <w:r w:rsidRPr="00BB3F07">
              <w:rPr>
                <w:rFonts w:eastAsia="Times New Roman"/>
                <w:color w:val="000000"/>
                <w:sz w:val="20"/>
                <w:szCs w:val="20"/>
              </w:rPr>
              <w:t>Source of Financing</w:t>
            </w:r>
            <w:r>
              <w:rPr>
                <w:rFonts w:eastAsia="Times New Roman"/>
                <w:color w:val="000000"/>
                <w:sz w:val="20"/>
                <w:szCs w:val="20"/>
              </w:rPr>
              <w:t>: Budget Component</w:t>
            </w:r>
            <w:r w:rsidR="00855DD6">
              <w:rPr>
                <w:rFonts w:eastAsia="Times New Roman"/>
                <w:color w:val="000000"/>
                <w:sz w:val="20"/>
                <w:szCs w:val="20"/>
              </w:rPr>
              <w:t xml:space="preserve"> (old budget classification)</w:t>
            </w:r>
          </w:p>
        </w:tc>
      </w:tr>
      <w:tr w:rsidR="00EA5EB0" w:rsidRPr="00BB3F07" w:rsidTr="00402866">
        <w:trPr>
          <w:trHeight w:val="255"/>
          <w:jc w:val="center"/>
        </w:trPr>
        <w:tc>
          <w:tcPr>
            <w:tcW w:w="2115" w:type="dxa"/>
            <w:shd w:val="clear" w:color="auto" w:fill="auto"/>
            <w:noWrap/>
            <w:vAlign w:val="bottom"/>
          </w:tcPr>
          <w:p w:rsidR="00EA5EB0" w:rsidRPr="00BB3F07" w:rsidRDefault="00EA5EB0" w:rsidP="00EA5EB0">
            <w:pPr>
              <w:jc w:val="center"/>
              <w:rPr>
                <w:rFonts w:eastAsia="Times New Roman"/>
                <w:color w:val="000000"/>
                <w:sz w:val="20"/>
                <w:szCs w:val="20"/>
              </w:rPr>
            </w:pPr>
            <w:r>
              <w:rPr>
                <w:rFonts w:eastAsia="Times New Roman"/>
                <w:color w:val="000000"/>
                <w:sz w:val="20"/>
                <w:szCs w:val="20"/>
              </w:rPr>
              <w:t>fin_source1</w:t>
            </w:r>
          </w:p>
        </w:tc>
        <w:tc>
          <w:tcPr>
            <w:tcW w:w="7065" w:type="dxa"/>
            <w:shd w:val="clear" w:color="auto" w:fill="auto"/>
            <w:noWrap/>
            <w:vAlign w:val="bottom"/>
          </w:tcPr>
          <w:p w:rsidR="00EA5EB0" w:rsidRDefault="00EA5EB0" w:rsidP="00EA5EB0">
            <w:pPr>
              <w:rPr>
                <w:rFonts w:eastAsia="Times New Roman"/>
                <w:color w:val="000000"/>
                <w:sz w:val="20"/>
                <w:szCs w:val="20"/>
              </w:rPr>
            </w:pPr>
            <w:r>
              <w:rPr>
                <w:color w:val="000000"/>
                <w:sz w:val="20"/>
                <w:szCs w:val="20"/>
              </w:rPr>
              <w:t>Budget Level -- Source of Financing (Level 1)</w:t>
            </w:r>
          </w:p>
        </w:tc>
      </w:tr>
      <w:tr w:rsidR="00EA5EB0" w:rsidRPr="00BB3F07" w:rsidTr="00402866">
        <w:trPr>
          <w:trHeight w:val="255"/>
          <w:jc w:val="center"/>
        </w:trPr>
        <w:tc>
          <w:tcPr>
            <w:tcW w:w="2115" w:type="dxa"/>
            <w:shd w:val="clear" w:color="auto" w:fill="auto"/>
            <w:noWrap/>
            <w:vAlign w:val="bottom"/>
          </w:tcPr>
          <w:p w:rsidR="00EA5EB0" w:rsidRPr="00BB3F07" w:rsidRDefault="00EA5EB0" w:rsidP="00EA5EB0">
            <w:pPr>
              <w:jc w:val="center"/>
              <w:rPr>
                <w:rFonts w:eastAsia="Times New Roman"/>
                <w:color w:val="000000"/>
                <w:sz w:val="20"/>
                <w:szCs w:val="20"/>
              </w:rPr>
            </w:pPr>
            <w:r>
              <w:rPr>
                <w:rFonts w:eastAsia="Times New Roman"/>
                <w:color w:val="000000"/>
                <w:sz w:val="20"/>
                <w:szCs w:val="20"/>
              </w:rPr>
              <w:t>fin_source2</w:t>
            </w:r>
          </w:p>
        </w:tc>
        <w:tc>
          <w:tcPr>
            <w:tcW w:w="7065" w:type="dxa"/>
            <w:shd w:val="clear" w:color="auto" w:fill="auto"/>
            <w:noWrap/>
            <w:vAlign w:val="bottom"/>
          </w:tcPr>
          <w:p w:rsidR="00EA5EB0" w:rsidRDefault="00EA5EB0" w:rsidP="00EA5EB0">
            <w:pPr>
              <w:rPr>
                <w:color w:val="000000"/>
                <w:sz w:val="20"/>
                <w:szCs w:val="20"/>
              </w:rPr>
            </w:pPr>
            <w:r>
              <w:rPr>
                <w:color w:val="000000"/>
                <w:sz w:val="20"/>
                <w:szCs w:val="20"/>
              </w:rPr>
              <w:t>Budget sub-level -- Source of Financing (Level 2)</w:t>
            </w:r>
          </w:p>
        </w:tc>
      </w:tr>
      <w:tr w:rsidR="00EA5EB0" w:rsidRPr="00BB3F07" w:rsidTr="00402866">
        <w:trPr>
          <w:trHeight w:val="255"/>
          <w:jc w:val="center"/>
        </w:trPr>
        <w:tc>
          <w:tcPr>
            <w:tcW w:w="2115" w:type="dxa"/>
            <w:shd w:val="clear" w:color="auto" w:fill="auto"/>
            <w:noWrap/>
            <w:vAlign w:val="bottom"/>
          </w:tcPr>
          <w:p w:rsidR="00EA5EB0" w:rsidRPr="00BB3F07" w:rsidRDefault="00EA5EB0" w:rsidP="00EA5EB0">
            <w:pPr>
              <w:jc w:val="center"/>
              <w:rPr>
                <w:rFonts w:eastAsia="Times New Roman"/>
                <w:color w:val="000000"/>
                <w:sz w:val="20"/>
                <w:szCs w:val="20"/>
              </w:rPr>
            </w:pPr>
            <w:r>
              <w:rPr>
                <w:rFonts w:eastAsia="Times New Roman"/>
                <w:color w:val="000000"/>
                <w:sz w:val="20"/>
                <w:szCs w:val="20"/>
              </w:rPr>
              <w:t>fin_source3</w:t>
            </w:r>
          </w:p>
        </w:tc>
        <w:tc>
          <w:tcPr>
            <w:tcW w:w="7065" w:type="dxa"/>
            <w:shd w:val="clear" w:color="auto" w:fill="auto"/>
            <w:noWrap/>
            <w:vAlign w:val="bottom"/>
          </w:tcPr>
          <w:p w:rsidR="00EA5EB0" w:rsidRDefault="00EA5EB0" w:rsidP="00EA5EB0">
            <w:pPr>
              <w:rPr>
                <w:color w:val="000000"/>
                <w:sz w:val="20"/>
                <w:szCs w:val="20"/>
              </w:rPr>
            </w:pPr>
            <w:r>
              <w:rPr>
                <w:color w:val="000000"/>
                <w:sz w:val="20"/>
                <w:szCs w:val="20"/>
              </w:rPr>
              <w:t>Component -- Source of Financing (Level 1)</w:t>
            </w:r>
          </w:p>
        </w:tc>
      </w:tr>
      <w:tr w:rsidR="00EA5EB0" w:rsidRPr="00BB3F07" w:rsidTr="00402866">
        <w:trPr>
          <w:trHeight w:val="255"/>
          <w:jc w:val="center"/>
        </w:trPr>
        <w:tc>
          <w:tcPr>
            <w:tcW w:w="2115" w:type="dxa"/>
            <w:shd w:val="clear" w:color="auto" w:fill="auto"/>
            <w:noWrap/>
            <w:vAlign w:val="bottom"/>
          </w:tcPr>
          <w:p w:rsidR="00EA5EB0" w:rsidRDefault="00EA5EB0" w:rsidP="00EA5EB0">
            <w:pPr>
              <w:jc w:val="center"/>
              <w:rPr>
                <w:rFonts w:eastAsia="Times New Roman"/>
                <w:color w:val="000000"/>
                <w:sz w:val="20"/>
                <w:szCs w:val="20"/>
              </w:rPr>
            </w:pPr>
            <w:r>
              <w:rPr>
                <w:rFonts w:eastAsia="Times New Roman"/>
                <w:color w:val="000000"/>
                <w:sz w:val="20"/>
                <w:szCs w:val="20"/>
              </w:rPr>
              <w:lastRenderedPageBreak/>
              <w:t>fin_source4</w:t>
            </w:r>
          </w:p>
        </w:tc>
        <w:tc>
          <w:tcPr>
            <w:tcW w:w="7065" w:type="dxa"/>
            <w:shd w:val="clear" w:color="auto" w:fill="auto"/>
            <w:noWrap/>
            <w:vAlign w:val="bottom"/>
          </w:tcPr>
          <w:p w:rsidR="00EA5EB0" w:rsidRDefault="00EA5EB0" w:rsidP="00EA5EB0">
            <w:pPr>
              <w:rPr>
                <w:color w:val="000000"/>
                <w:sz w:val="20"/>
                <w:szCs w:val="20"/>
              </w:rPr>
            </w:pPr>
            <w:r>
              <w:rPr>
                <w:color w:val="000000"/>
                <w:sz w:val="20"/>
                <w:szCs w:val="20"/>
              </w:rPr>
              <w:t>Sub-component -- Source of Financing (Level 2)</w:t>
            </w:r>
          </w:p>
        </w:tc>
      </w:tr>
      <w:tr w:rsidR="00EA5EB0" w:rsidRPr="00BB3F07" w:rsidTr="00402866">
        <w:trPr>
          <w:trHeight w:val="255"/>
          <w:jc w:val="center"/>
        </w:trPr>
        <w:tc>
          <w:tcPr>
            <w:tcW w:w="2115" w:type="dxa"/>
            <w:shd w:val="clear" w:color="auto" w:fill="auto"/>
            <w:noWrap/>
            <w:vAlign w:val="bottom"/>
          </w:tcPr>
          <w:p w:rsidR="00EA5EB0" w:rsidRDefault="00EA5EB0" w:rsidP="00EA5EB0">
            <w:pPr>
              <w:jc w:val="center"/>
              <w:rPr>
                <w:rFonts w:eastAsia="Times New Roman"/>
                <w:color w:val="000000"/>
                <w:sz w:val="20"/>
                <w:szCs w:val="20"/>
              </w:rPr>
            </w:pPr>
            <w:r>
              <w:rPr>
                <w:rFonts w:eastAsia="Times New Roman"/>
                <w:color w:val="000000"/>
                <w:sz w:val="20"/>
                <w:szCs w:val="20"/>
              </w:rPr>
              <w:t>fin_source5</w:t>
            </w:r>
          </w:p>
        </w:tc>
        <w:tc>
          <w:tcPr>
            <w:tcW w:w="7065" w:type="dxa"/>
            <w:shd w:val="clear" w:color="auto" w:fill="auto"/>
            <w:noWrap/>
            <w:vAlign w:val="bottom"/>
          </w:tcPr>
          <w:p w:rsidR="00EA5EB0" w:rsidRDefault="00EA5EB0" w:rsidP="00EA5EB0">
            <w:pPr>
              <w:rPr>
                <w:color w:val="000000"/>
                <w:sz w:val="20"/>
                <w:szCs w:val="20"/>
              </w:rPr>
            </w:pPr>
            <w:r>
              <w:rPr>
                <w:color w:val="000000"/>
                <w:sz w:val="20"/>
                <w:szCs w:val="20"/>
              </w:rPr>
              <w:t>Source of financing -- Source of Financing (Level 1)</w:t>
            </w:r>
          </w:p>
        </w:tc>
      </w:tr>
      <w:tr w:rsidR="00EA5EB0" w:rsidRPr="00BB3F07" w:rsidTr="00402866">
        <w:trPr>
          <w:trHeight w:val="255"/>
          <w:jc w:val="center"/>
        </w:trPr>
        <w:tc>
          <w:tcPr>
            <w:tcW w:w="2115" w:type="dxa"/>
            <w:shd w:val="clear" w:color="auto" w:fill="auto"/>
            <w:noWrap/>
            <w:vAlign w:val="bottom"/>
          </w:tcPr>
          <w:p w:rsidR="00EA5EB0" w:rsidRDefault="00EA5EB0" w:rsidP="00EA5EB0">
            <w:pPr>
              <w:jc w:val="center"/>
              <w:rPr>
                <w:rFonts w:eastAsia="Times New Roman"/>
                <w:color w:val="000000"/>
                <w:sz w:val="20"/>
                <w:szCs w:val="20"/>
              </w:rPr>
            </w:pPr>
            <w:r>
              <w:rPr>
                <w:rFonts w:eastAsia="Times New Roman"/>
                <w:color w:val="000000"/>
                <w:sz w:val="20"/>
                <w:szCs w:val="20"/>
              </w:rPr>
              <w:t>fin_source6</w:t>
            </w:r>
          </w:p>
        </w:tc>
        <w:tc>
          <w:tcPr>
            <w:tcW w:w="7065" w:type="dxa"/>
            <w:shd w:val="clear" w:color="auto" w:fill="auto"/>
            <w:noWrap/>
            <w:vAlign w:val="bottom"/>
          </w:tcPr>
          <w:p w:rsidR="00EA5EB0" w:rsidRDefault="00EA5EB0" w:rsidP="00EA5EB0">
            <w:pPr>
              <w:rPr>
                <w:color w:val="000000"/>
                <w:sz w:val="20"/>
                <w:szCs w:val="20"/>
              </w:rPr>
            </w:pPr>
            <w:r>
              <w:rPr>
                <w:color w:val="000000"/>
                <w:sz w:val="20"/>
                <w:szCs w:val="20"/>
              </w:rPr>
              <w:t>Donor identifier -- Source of Financing (Level 2)</w:t>
            </w:r>
          </w:p>
        </w:tc>
      </w:tr>
      <w:tr w:rsidR="00D51BB3" w:rsidRPr="00BB3F07" w:rsidTr="00402866">
        <w:trPr>
          <w:trHeight w:val="600"/>
          <w:jc w:val="center"/>
        </w:trPr>
        <w:tc>
          <w:tcPr>
            <w:tcW w:w="9180" w:type="dxa"/>
            <w:gridSpan w:val="2"/>
            <w:shd w:val="clear" w:color="auto" w:fill="auto"/>
            <w:noWrap/>
            <w:vAlign w:val="bottom"/>
          </w:tcPr>
          <w:p w:rsidR="00D51BB3" w:rsidRDefault="0067370F" w:rsidP="00D51BB3">
            <w:pPr>
              <w:jc w:val="center"/>
              <w:rPr>
                <w:rFonts w:eastAsia="Times New Roman"/>
                <w:b/>
                <w:i/>
                <w:color w:val="000000"/>
                <w:sz w:val="20"/>
                <w:szCs w:val="20"/>
              </w:rPr>
            </w:pPr>
            <w:r>
              <w:rPr>
                <w:rFonts w:eastAsia="Times New Roman"/>
                <w:b/>
                <w:i/>
                <w:color w:val="000000"/>
                <w:sz w:val="20"/>
                <w:szCs w:val="20"/>
              </w:rPr>
              <w:t>O</w:t>
            </w:r>
            <w:r w:rsidR="00D51BB3" w:rsidRPr="00D51BB3">
              <w:rPr>
                <w:rFonts w:eastAsia="Times New Roman"/>
                <w:b/>
                <w:i/>
                <w:color w:val="000000"/>
                <w:sz w:val="20"/>
                <w:szCs w:val="20"/>
              </w:rPr>
              <w:t>ther BOOST variables</w:t>
            </w:r>
          </w:p>
          <w:p w:rsidR="0067370F" w:rsidRPr="00D51BB3" w:rsidRDefault="0067370F" w:rsidP="00D51BB3">
            <w:pPr>
              <w:jc w:val="center"/>
              <w:rPr>
                <w:rFonts w:eastAsia="Times New Roman"/>
                <w:b/>
                <w:i/>
                <w:color w:val="000000"/>
                <w:sz w:val="20"/>
                <w:szCs w:val="20"/>
              </w:rPr>
            </w:pPr>
          </w:p>
        </w:tc>
      </w:tr>
      <w:tr w:rsidR="00147861" w:rsidRPr="00BB3F07" w:rsidTr="00402866">
        <w:trPr>
          <w:trHeight w:val="255"/>
          <w:jc w:val="center"/>
        </w:trPr>
        <w:tc>
          <w:tcPr>
            <w:tcW w:w="2115" w:type="dxa"/>
            <w:shd w:val="clear" w:color="auto" w:fill="auto"/>
            <w:noWrap/>
            <w:vAlign w:val="bottom"/>
          </w:tcPr>
          <w:p w:rsidR="00147861" w:rsidRPr="00BB3F07" w:rsidRDefault="00147861" w:rsidP="00147861">
            <w:pPr>
              <w:jc w:val="center"/>
              <w:rPr>
                <w:rFonts w:eastAsia="Times New Roman"/>
                <w:color w:val="000000"/>
                <w:sz w:val="20"/>
                <w:szCs w:val="20"/>
              </w:rPr>
            </w:pPr>
            <w:r w:rsidRPr="00BB3F07">
              <w:rPr>
                <w:rFonts w:eastAsia="Times New Roman"/>
                <w:color w:val="000000"/>
                <w:sz w:val="20"/>
                <w:szCs w:val="20"/>
              </w:rPr>
              <w:t>exp_type</w:t>
            </w:r>
          </w:p>
        </w:tc>
        <w:tc>
          <w:tcPr>
            <w:tcW w:w="7065" w:type="dxa"/>
            <w:shd w:val="clear" w:color="auto" w:fill="auto"/>
            <w:noWrap/>
            <w:vAlign w:val="bottom"/>
          </w:tcPr>
          <w:p w:rsidR="00147861" w:rsidRPr="00BB3F07" w:rsidRDefault="00147861" w:rsidP="00147861">
            <w:pPr>
              <w:rPr>
                <w:rFonts w:eastAsia="Times New Roman"/>
                <w:color w:val="000000"/>
                <w:sz w:val="20"/>
                <w:szCs w:val="20"/>
              </w:rPr>
            </w:pPr>
            <w:r w:rsidRPr="00BB3F07">
              <w:rPr>
                <w:rFonts w:eastAsia="Times New Roman"/>
                <w:color w:val="000000"/>
                <w:sz w:val="20"/>
                <w:szCs w:val="20"/>
              </w:rPr>
              <w:t xml:space="preserve">Expenditure </w:t>
            </w:r>
            <w:r>
              <w:rPr>
                <w:rFonts w:eastAsia="Times New Roman"/>
                <w:color w:val="000000"/>
                <w:sz w:val="20"/>
                <w:szCs w:val="20"/>
              </w:rPr>
              <w:t>T</w:t>
            </w:r>
            <w:r w:rsidRPr="00BB3F07">
              <w:rPr>
                <w:rFonts w:eastAsia="Times New Roman"/>
                <w:color w:val="000000"/>
                <w:sz w:val="20"/>
                <w:szCs w:val="20"/>
              </w:rPr>
              <w:t>ype</w:t>
            </w:r>
          </w:p>
        </w:tc>
      </w:tr>
      <w:tr w:rsidR="00147861" w:rsidRPr="00BB3F07" w:rsidTr="00402866">
        <w:trPr>
          <w:trHeight w:val="255"/>
          <w:jc w:val="center"/>
        </w:trPr>
        <w:tc>
          <w:tcPr>
            <w:tcW w:w="2115" w:type="dxa"/>
            <w:shd w:val="clear" w:color="auto" w:fill="auto"/>
            <w:noWrap/>
            <w:vAlign w:val="bottom"/>
          </w:tcPr>
          <w:p w:rsidR="00147861" w:rsidRPr="00BB3F07" w:rsidRDefault="00147861" w:rsidP="00147861">
            <w:pPr>
              <w:jc w:val="center"/>
              <w:rPr>
                <w:rFonts w:eastAsia="Times New Roman"/>
                <w:color w:val="000000"/>
                <w:sz w:val="20"/>
                <w:szCs w:val="20"/>
              </w:rPr>
            </w:pPr>
            <w:r w:rsidRPr="00BB3F07">
              <w:rPr>
                <w:rFonts w:eastAsia="Times New Roman"/>
                <w:color w:val="000000"/>
                <w:sz w:val="20"/>
                <w:szCs w:val="20"/>
              </w:rPr>
              <w:t>transfer</w:t>
            </w:r>
          </w:p>
        </w:tc>
        <w:tc>
          <w:tcPr>
            <w:tcW w:w="7065" w:type="dxa"/>
            <w:shd w:val="clear" w:color="auto" w:fill="auto"/>
            <w:noWrap/>
            <w:vAlign w:val="bottom"/>
          </w:tcPr>
          <w:p w:rsidR="00147861" w:rsidRPr="00BB3F07" w:rsidRDefault="00147861" w:rsidP="00147861">
            <w:pPr>
              <w:rPr>
                <w:rFonts w:eastAsia="Times New Roman"/>
                <w:color w:val="000000"/>
                <w:sz w:val="20"/>
                <w:szCs w:val="20"/>
              </w:rPr>
            </w:pPr>
            <w:r w:rsidRPr="00BB3F07">
              <w:rPr>
                <w:rFonts w:eastAsia="Times New Roman"/>
                <w:color w:val="000000"/>
                <w:sz w:val="20"/>
                <w:szCs w:val="20"/>
              </w:rPr>
              <w:t xml:space="preserve">Intrabudgetary </w:t>
            </w:r>
            <w:r>
              <w:rPr>
                <w:rFonts w:eastAsia="Times New Roman"/>
                <w:color w:val="000000"/>
                <w:sz w:val="20"/>
                <w:szCs w:val="20"/>
              </w:rPr>
              <w:t>T</w:t>
            </w:r>
            <w:r w:rsidRPr="00BB3F07">
              <w:rPr>
                <w:rFonts w:eastAsia="Times New Roman"/>
                <w:color w:val="000000"/>
                <w:sz w:val="20"/>
                <w:szCs w:val="20"/>
              </w:rPr>
              <w:t>ransfers</w:t>
            </w:r>
          </w:p>
        </w:tc>
      </w:tr>
      <w:tr w:rsidR="00147861" w:rsidRPr="00BB3F07" w:rsidTr="00402866">
        <w:trPr>
          <w:trHeight w:val="255"/>
          <w:jc w:val="center"/>
        </w:trPr>
        <w:tc>
          <w:tcPr>
            <w:tcW w:w="2115" w:type="dxa"/>
            <w:shd w:val="clear" w:color="auto" w:fill="auto"/>
            <w:noWrap/>
            <w:vAlign w:val="bottom"/>
          </w:tcPr>
          <w:p w:rsidR="00147861" w:rsidRPr="00BB3F07" w:rsidRDefault="00147861" w:rsidP="00147861">
            <w:pPr>
              <w:jc w:val="center"/>
              <w:rPr>
                <w:rFonts w:eastAsia="Times New Roman"/>
                <w:color w:val="000000"/>
                <w:sz w:val="20"/>
                <w:szCs w:val="20"/>
              </w:rPr>
            </w:pPr>
            <w:r>
              <w:rPr>
                <w:rFonts w:eastAsia="Times New Roman"/>
                <w:color w:val="000000"/>
                <w:sz w:val="20"/>
                <w:szCs w:val="20"/>
              </w:rPr>
              <w:t>year</w:t>
            </w:r>
          </w:p>
        </w:tc>
        <w:tc>
          <w:tcPr>
            <w:tcW w:w="7065" w:type="dxa"/>
            <w:shd w:val="clear" w:color="auto" w:fill="auto"/>
            <w:noWrap/>
            <w:vAlign w:val="bottom"/>
          </w:tcPr>
          <w:p w:rsidR="00147861" w:rsidRPr="00BB3F07" w:rsidRDefault="00147861" w:rsidP="00147861">
            <w:pPr>
              <w:rPr>
                <w:rFonts w:eastAsia="Times New Roman"/>
                <w:color w:val="000000"/>
                <w:sz w:val="20"/>
                <w:szCs w:val="20"/>
              </w:rPr>
            </w:pPr>
            <w:r>
              <w:rPr>
                <w:rFonts w:eastAsia="Times New Roman"/>
                <w:color w:val="000000"/>
                <w:sz w:val="20"/>
                <w:szCs w:val="20"/>
              </w:rPr>
              <w:t>Budget Year</w:t>
            </w:r>
          </w:p>
        </w:tc>
      </w:tr>
      <w:tr w:rsidR="00147861" w:rsidRPr="00BB3F07" w:rsidTr="00402866">
        <w:trPr>
          <w:trHeight w:val="255"/>
          <w:jc w:val="center"/>
        </w:trPr>
        <w:tc>
          <w:tcPr>
            <w:tcW w:w="9180" w:type="dxa"/>
            <w:gridSpan w:val="2"/>
            <w:shd w:val="clear" w:color="auto" w:fill="auto"/>
            <w:noWrap/>
            <w:vAlign w:val="bottom"/>
            <w:hideMark/>
          </w:tcPr>
          <w:p w:rsidR="00147861" w:rsidRPr="0067370F" w:rsidRDefault="00147861" w:rsidP="00147861">
            <w:pPr>
              <w:jc w:val="center"/>
              <w:rPr>
                <w:rFonts w:eastAsia="Times New Roman"/>
                <w:b/>
                <w:i/>
                <w:color w:val="000000"/>
                <w:sz w:val="20"/>
                <w:szCs w:val="20"/>
              </w:rPr>
            </w:pPr>
            <w:r w:rsidRPr="0067370F">
              <w:rPr>
                <w:rFonts w:eastAsia="Times New Roman"/>
                <w:b/>
                <w:i/>
                <w:color w:val="000000"/>
                <w:sz w:val="20"/>
                <w:szCs w:val="20"/>
              </w:rPr>
              <w:t>Budgetary Amounts</w:t>
            </w:r>
          </w:p>
          <w:p w:rsidR="0067370F" w:rsidRPr="00605FEC" w:rsidRDefault="0067370F" w:rsidP="00147861">
            <w:pPr>
              <w:jc w:val="center"/>
              <w:rPr>
                <w:rFonts w:eastAsia="Times New Roman"/>
                <w:i/>
                <w:color w:val="000000"/>
                <w:sz w:val="20"/>
                <w:szCs w:val="20"/>
              </w:rPr>
            </w:pPr>
          </w:p>
        </w:tc>
      </w:tr>
      <w:tr w:rsidR="00147861" w:rsidRPr="00BB3F07" w:rsidTr="00402866">
        <w:trPr>
          <w:trHeight w:val="255"/>
          <w:jc w:val="center"/>
        </w:trPr>
        <w:tc>
          <w:tcPr>
            <w:tcW w:w="2115" w:type="dxa"/>
            <w:shd w:val="clear" w:color="auto" w:fill="auto"/>
            <w:noWrap/>
            <w:vAlign w:val="bottom"/>
            <w:hideMark/>
          </w:tcPr>
          <w:p w:rsidR="00147861" w:rsidRPr="00BB3F07" w:rsidRDefault="00147861" w:rsidP="00147861">
            <w:pPr>
              <w:jc w:val="center"/>
              <w:rPr>
                <w:rFonts w:eastAsia="Times New Roman"/>
                <w:color w:val="000000"/>
                <w:sz w:val="20"/>
                <w:szCs w:val="20"/>
              </w:rPr>
            </w:pPr>
            <w:r w:rsidRPr="00BB3F07">
              <w:rPr>
                <w:rFonts w:eastAsia="Times New Roman"/>
                <w:color w:val="000000"/>
                <w:sz w:val="20"/>
                <w:szCs w:val="20"/>
              </w:rPr>
              <w:t>approved</w:t>
            </w:r>
          </w:p>
        </w:tc>
        <w:tc>
          <w:tcPr>
            <w:tcW w:w="7065" w:type="dxa"/>
            <w:shd w:val="clear" w:color="auto" w:fill="auto"/>
            <w:noWrap/>
            <w:vAlign w:val="bottom"/>
            <w:hideMark/>
          </w:tcPr>
          <w:p w:rsidR="00147861" w:rsidRPr="00BB3F07" w:rsidRDefault="00147861" w:rsidP="00147861">
            <w:pPr>
              <w:rPr>
                <w:rFonts w:eastAsia="Times New Roman"/>
                <w:color w:val="000000"/>
                <w:sz w:val="20"/>
                <w:szCs w:val="20"/>
              </w:rPr>
            </w:pPr>
            <w:r w:rsidRPr="00BB3F07">
              <w:rPr>
                <w:rFonts w:eastAsia="Times New Roman"/>
                <w:color w:val="000000"/>
                <w:sz w:val="20"/>
                <w:szCs w:val="20"/>
              </w:rPr>
              <w:t xml:space="preserve">Approved </w:t>
            </w:r>
            <w:r>
              <w:rPr>
                <w:rFonts w:eastAsia="Times New Roman"/>
                <w:color w:val="000000"/>
                <w:sz w:val="20"/>
                <w:szCs w:val="20"/>
              </w:rPr>
              <w:t xml:space="preserve">Budget </w:t>
            </w:r>
            <w:r w:rsidRPr="00BB3F07">
              <w:rPr>
                <w:rFonts w:eastAsia="Times New Roman"/>
                <w:color w:val="000000"/>
                <w:sz w:val="20"/>
                <w:szCs w:val="20"/>
              </w:rPr>
              <w:t>(Lei)</w:t>
            </w:r>
          </w:p>
        </w:tc>
      </w:tr>
      <w:tr w:rsidR="00147861" w:rsidRPr="00BB3F07" w:rsidTr="00402866">
        <w:trPr>
          <w:trHeight w:val="255"/>
          <w:jc w:val="center"/>
        </w:trPr>
        <w:tc>
          <w:tcPr>
            <w:tcW w:w="2115" w:type="dxa"/>
            <w:shd w:val="clear" w:color="auto" w:fill="auto"/>
            <w:noWrap/>
            <w:vAlign w:val="bottom"/>
            <w:hideMark/>
          </w:tcPr>
          <w:p w:rsidR="00147861" w:rsidRPr="00BB3F07" w:rsidRDefault="00147861" w:rsidP="00147861">
            <w:pPr>
              <w:jc w:val="center"/>
              <w:rPr>
                <w:rFonts w:eastAsia="Times New Roman"/>
                <w:color w:val="000000"/>
                <w:sz w:val="20"/>
                <w:szCs w:val="20"/>
              </w:rPr>
            </w:pPr>
            <w:r w:rsidRPr="00BB3F07">
              <w:rPr>
                <w:rFonts w:eastAsia="Times New Roman"/>
                <w:color w:val="000000"/>
                <w:sz w:val="20"/>
                <w:szCs w:val="20"/>
              </w:rPr>
              <w:t>adjusted</w:t>
            </w:r>
          </w:p>
        </w:tc>
        <w:tc>
          <w:tcPr>
            <w:tcW w:w="7065" w:type="dxa"/>
            <w:shd w:val="clear" w:color="auto" w:fill="auto"/>
            <w:noWrap/>
            <w:vAlign w:val="bottom"/>
            <w:hideMark/>
          </w:tcPr>
          <w:p w:rsidR="00147861" w:rsidRPr="00BB3F07" w:rsidRDefault="00147861" w:rsidP="00147861">
            <w:pPr>
              <w:rPr>
                <w:rFonts w:eastAsia="Times New Roman"/>
                <w:color w:val="000000"/>
                <w:sz w:val="20"/>
                <w:szCs w:val="20"/>
              </w:rPr>
            </w:pPr>
            <w:r w:rsidRPr="00BB3F07">
              <w:rPr>
                <w:rFonts w:eastAsia="Times New Roman"/>
                <w:color w:val="000000"/>
                <w:sz w:val="20"/>
                <w:szCs w:val="20"/>
              </w:rPr>
              <w:t xml:space="preserve">Adjusted </w:t>
            </w:r>
            <w:r>
              <w:rPr>
                <w:rFonts w:eastAsia="Times New Roman"/>
                <w:color w:val="000000"/>
                <w:sz w:val="20"/>
                <w:szCs w:val="20"/>
              </w:rPr>
              <w:t xml:space="preserve">Budget </w:t>
            </w:r>
            <w:r w:rsidRPr="00BB3F07">
              <w:rPr>
                <w:rFonts w:eastAsia="Times New Roman"/>
                <w:color w:val="000000"/>
                <w:sz w:val="20"/>
                <w:szCs w:val="20"/>
              </w:rPr>
              <w:t>(Lei)</w:t>
            </w:r>
          </w:p>
        </w:tc>
      </w:tr>
      <w:tr w:rsidR="00147861" w:rsidRPr="00BB3F07" w:rsidTr="00402866">
        <w:trPr>
          <w:trHeight w:val="255"/>
          <w:jc w:val="center"/>
        </w:trPr>
        <w:tc>
          <w:tcPr>
            <w:tcW w:w="2115" w:type="dxa"/>
            <w:shd w:val="clear" w:color="auto" w:fill="auto"/>
            <w:noWrap/>
            <w:vAlign w:val="bottom"/>
            <w:hideMark/>
          </w:tcPr>
          <w:p w:rsidR="00147861" w:rsidRPr="00BB3F07" w:rsidRDefault="00147861" w:rsidP="00147861">
            <w:pPr>
              <w:jc w:val="center"/>
              <w:rPr>
                <w:rFonts w:eastAsia="Times New Roman"/>
                <w:color w:val="000000"/>
                <w:sz w:val="20"/>
                <w:szCs w:val="20"/>
              </w:rPr>
            </w:pPr>
            <w:r w:rsidRPr="00BB3F07">
              <w:rPr>
                <w:rFonts w:eastAsia="Times New Roman"/>
                <w:color w:val="000000"/>
                <w:sz w:val="20"/>
                <w:szCs w:val="20"/>
              </w:rPr>
              <w:t>executed</w:t>
            </w:r>
          </w:p>
        </w:tc>
        <w:tc>
          <w:tcPr>
            <w:tcW w:w="7065" w:type="dxa"/>
            <w:shd w:val="clear" w:color="auto" w:fill="auto"/>
            <w:noWrap/>
            <w:vAlign w:val="bottom"/>
            <w:hideMark/>
          </w:tcPr>
          <w:p w:rsidR="00147861" w:rsidRPr="00BB3F07" w:rsidRDefault="00147861" w:rsidP="00147861">
            <w:pPr>
              <w:rPr>
                <w:rFonts w:eastAsia="Times New Roman"/>
                <w:color w:val="000000"/>
                <w:sz w:val="20"/>
                <w:szCs w:val="20"/>
              </w:rPr>
            </w:pPr>
            <w:r w:rsidRPr="00BB3F07">
              <w:rPr>
                <w:rFonts w:eastAsia="Times New Roman"/>
                <w:color w:val="000000"/>
                <w:sz w:val="20"/>
                <w:szCs w:val="20"/>
              </w:rPr>
              <w:t xml:space="preserve">Executed </w:t>
            </w:r>
            <w:r>
              <w:rPr>
                <w:rFonts w:eastAsia="Times New Roman"/>
                <w:color w:val="000000"/>
                <w:sz w:val="20"/>
                <w:szCs w:val="20"/>
              </w:rPr>
              <w:t xml:space="preserve">Budget </w:t>
            </w:r>
            <w:r w:rsidRPr="00BB3F07">
              <w:rPr>
                <w:rFonts w:eastAsia="Times New Roman"/>
                <w:color w:val="000000"/>
                <w:sz w:val="20"/>
                <w:szCs w:val="20"/>
              </w:rPr>
              <w:t>(Lei)</w:t>
            </w:r>
          </w:p>
        </w:tc>
      </w:tr>
    </w:tbl>
    <w:p w:rsidR="00920017" w:rsidRDefault="00920017">
      <w:pPr>
        <w:jc w:val="both"/>
      </w:pPr>
    </w:p>
    <w:p w:rsidR="001B1A33" w:rsidRDefault="001B1A33">
      <w:pPr>
        <w:jc w:val="both"/>
      </w:pPr>
      <w:r>
        <w:t xml:space="preserve">The database contains six variables that correspond to different </w:t>
      </w:r>
      <w:r w:rsidR="00E002EA">
        <w:t>level</w:t>
      </w:r>
      <w:r w:rsidR="00402866">
        <w:t>s</w:t>
      </w:r>
      <w:r w:rsidR="00E002EA">
        <w:t xml:space="preserve"> in the </w:t>
      </w:r>
      <w:r>
        <w:t xml:space="preserve">administrative classification within the Moldova budget. </w:t>
      </w:r>
      <w:r w:rsidR="00170609">
        <w:t xml:space="preserve">The first level of administrative classification, </w:t>
      </w:r>
      <w:r w:rsidR="00170609">
        <w:rPr>
          <w:i/>
        </w:rPr>
        <w:t>admin1</w:t>
      </w:r>
      <w:r w:rsidR="00170609">
        <w:t>, identifies the budget, or government level, that incurred the expenditure: “Central” (state budget), “Local” (ATU budgets), or “Other” (</w:t>
      </w:r>
      <w:r w:rsidR="00E002EA">
        <w:t>extra</w:t>
      </w:r>
      <w:r w:rsidR="00170609">
        <w:t>budget</w:t>
      </w:r>
      <w:r w:rsidR="00E002EA">
        <w:t>ary</w:t>
      </w:r>
      <w:r w:rsidR="00170609">
        <w:t xml:space="preserve"> funds: BASS and FAOAM). The second level of administrative classification, </w:t>
      </w:r>
      <w:r w:rsidR="00170609">
        <w:rPr>
          <w:i/>
        </w:rPr>
        <w:t>admin2</w:t>
      </w:r>
      <w:r w:rsidR="00170609">
        <w:t>, specifies the public authority under which the funds were spent: ministries at the central government level and raions at the local government level.</w:t>
      </w:r>
    </w:p>
    <w:p w:rsidR="00402866" w:rsidRPr="00170609" w:rsidRDefault="00402866">
      <w:pPr>
        <w:jc w:val="both"/>
      </w:pPr>
    </w:p>
    <w:p w:rsidR="00AD7BF6" w:rsidRDefault="008A0D22">
      <w:pPr>
        <w:jc w:val="both"/>
      </w:pPr>
      <w:r>
        <w:t xml:space="preserve">Expenditures at each level of government are then broken down further: at the central government level, individual spending units (or institutions) are identified in </w:t>
      </w:r>
      <w:r w:rsidRPr="008A0D22">
        <w:rPr>
          <w:i/>
        </w:rPr>
        <w:t>admin3</w:t>
      </w:r>
      <w:r>
        <w:t xml:space="preserve">; at the local government level, mayoralties are listed in </w:t>
      </w:r>
      <w:r>
        <w:rPr>
          <w:i/>
        </w:rPr>
        <w:t>admin4</w:t>
      </w:r>
      <w:r>
        <w:t xml:space="preserve"> and individual spending units (institutions) are identified in </w:t>
      </w:r>
      <w:r>
        <w:rPr>
          <w:i/>
        </w:rPr>
        <w:t>admin5</w:t>
      </w:r>
      <w:r>
        <w:t>.</w:t>
      </w:r>
      <w:r w:rsidR="00E002EA">
        <w:rPr>
          <w:rStyle w:val="FootnoteReference"/>
        </w:rPr>
        <w:footnoteReference w:id="3"/>
      </w:r>
      <w:r w:rsidR="000E65B1">
        <w:t xml:space="preserve"> With the new budget classification, another level of </w:t>
      </w:r>
      <w:r w:rsidR="006F1D6F">
        <w:t>subordination</w:t>
      </w:r>
      <w:r w:rsidR="000E65B1">
        <w:t xml:space="preserve"> is added to the organizational hierarchy. </w:t>
      </w:r>
      <w:r w:rsidR="004D3571">
        <w:t>The</w:t>
      </w:r>
      <w:r w:rsidR="000E65B1">
        <w:t xml:space="preserve"> </w:t>
      </w:r>
      <w:r w:rsidR="000E65B1" w:rsidRPr="000E65B1">
        <w:rPr>
          <w:i/>
        </w:rPr>
        <w:t>admin3_interm</w:t>
      </w:r>
      <w:r w:rsidR="0090517B">
        <w:t xml:space="preserve"> </w:t>
      </w:r>
      <w:r w:rsidR="004D3571">
        <w:t xml:space="preserve">variable </w:t>
      </w:r>
      <w:r w:rsidR="0090517B">
        <w:t xml:space="preserve">identifies </w:t>
      </w:r>
      <w:r w:rsidR="004D3571">
        <w:t xml:space="preserve">a </w:t>
      </w:r>
      <w:r w:rsidR="0090517B">
        <w:t xml:space="preserve">central or local government </w:t>
      </w:r>
      <w:r w:rsidR="00796484">
        <w:t>intermediate</w:t>
      </w:r>
      <w:r w:rsidR="00AF28F5">
        <w:t xml:space="preserve"> budget institution whic</w:t>
      </w:r>
      <w:r w:rsidR="006F1D6F">
        <w:t xml:space="preserve">h have subordinate budget </w:t>
      </w:r>
      <w:r w:rsidR="00796484">
        <w:t xml:space="preserve">entities. </w:t>
      </w:r>
    </w:p>
    <w:p w:rsidR="00AD7BF6" w:rsidRDefault="00AD7BF6">
      <w:pPr>
        <w:jc w:val="both"/>
      </w:pPr>
    </w:p>
    <w:p w:rsidR="006F1D6F" w:rsidRDefault="00ED174D">
      <w:pPr>
        <w:jc w:val="both"/>
      </w:pPr>
      <w:r>
        <w:t xml:space="preserve">Lastly, </w:t>
      </w:r>
      <w:r>
        <w:rPr>
          <w:i/>
        </w:rPr>
        <w:t>admin6</w:t>
      </w:r>
      <w:r>
        <w:t xml:space="preserve"> contains a three-digit code for the type of institution that is listed in </w:t>
      </w:r>
      <w:r w:rsidRPr="00ED174D">
        <w:rPr>
          <w:i/>
        </w:rPr>
        <w:t>admin3</w:t>
      </w:r>
      <w:r>
        <w:t xml:space="preserve"> or </w:t>
      </w:r>
      <w:r w:rsidRPr="00ED174D">
        <w:rPr>
          <w:i/>
        </w:rPr>
        <w:t>admin5</w:t>
      </w:r>
      <w:r>
        <w:t xml:space="preserve"> (e.g., all primary schools are classified as </w:t>
      </w:r>
      <w:r>
        <w:rPr>
          <w:i/>
        </w:rPr>
        <w:t xml:space="preserve">admin6 </w:t>
      </w:r>
      <w:r>
        <w:t xml:space="preserve">code 052). </w:t>
      </w:r>
      <w:r w:rsidR="006F1D6F">
        <w:t xml:space="preserve"> The admin6 variable budget dimension does not </w:t>
      </w:r>
      <w:r w:rsidR="00796484">
        <w:t>appear</w:t>
      </w:r>
      <w:r w:rsidR="006F1D6F">
        <w:t xml:space="preserve"> in the new budget classification effective as of 2016. </w:t>
      </w:r>
    </w:p>
    <w:p w:rsidR="004D3571" w:rsidRDefault="004D3571">
      <w:pPr>
        <w:jc w:val="both"/>
      </w:pPr>
    </w:p>
    <w:p w:rsidR="00C6310B" w:rsidRDefault="001B1A33">
      <w:pPr>
        <w:jc w:val="both"/>
      </w:pPr>
      <w:r w:rsidRPr="008A0D22">
        <w:t>A</w:t>
      </w:r>
      <w:r>
        <w:t xml:space="preserve"> visual representation of the administrative hierarc</w:t>
      </w:r>
      <w:r w:rsidR="00ED174D">
        <w:t>h</w:t>
      </w:r>
      <w:r>
        <w:t>y</w:t>
      </w:r>
      <w:r w:rsidR="004D3571">
        <w:t xml:space="preserve"> before and after the budget classification change</w:t>
      </w:r>
      <w:r>
        <w:t xml:space="preserve"> can be found in Figure 2 below.</w:t>
      </w:r>
    </w:p>
    <w:p w:rsidR="005922EA" w:rsidRDefault="005922EA">
      <w:pPr>
        <w:jc w:val="both"/>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270"/>
      </w:tblGrid>
      <w:tr w:rsidR="00C6310B" w:rsidTr="00877F96">
        <w:trPr>
          <w:trHeight w:val="4860"/>
        </w:trPr>
        <w:tc>
          <w:tcPr>
            <w:tcW w:w="9576" w:type="dxa"/>
          </w:tcPr>
          <w:p w:rsidR="005D737A" w:rsidRDefault="005D737A" w:rsidP="00635F24">
            <w:pPr>
              <w:pStyle w:val="Caption"/>
              <w:keepNext/>
              <w:spacing w:after="0"/>
              <w:jc w:val="center"/>
              <w:rPr>
                <w:i/>
                <w:color w:val="auto"/>
                <w:sz w:val="24"/>
              </w:rPr>
            </w:pPr>
          </w:p>
          <w:p w:rsidR="00877F96" w:rsidRDefault="00C6310B" w:rsidP="00635F24">
            <w:pPr>
              <w:pStyle w:val="Caption"/>
              <w:keepNext/>
              <w:spacing w:after="0"/>
              <w:jc w:val="center"/>
              <w:rPr>
                <w:i/>
                <w:color w:val="auto"/>
                <w:sz w:val="24"/>
              </w:rPr>
            </w:pPr>
            <w:r>
              <w:rPr>
                <w:i/>
                <w:color w:val="auto"/>
                <w:sz w:val="24"/>
              </w:rPr>
              <w:t>Figure 2</w:t>
            </w:r>
            <w:r w:rsidRPr="00096600">
              <w:rPr>
                <w:i/>
                <w:color w:val="auto"/>
                <w:sz w:val="24"/>
              </w:rPr>
              <w:t>. Hierarchy of Administrative Classification Variables</w:t>
            </w:r>
            <w:r w:rsidR="00E73E41">
              <w:rPr>
                <w:i/>
                <w:color w:val="auto"/>
                <w:sz w:val="24"/>
              </w:rPr>
              <w:t xml:space="preserve"> prior to 2016 (left) and </w:t>
            </w:r>
          </w:p>
          <w:p w:rsidR="00C6310B" w:rsidRDefault="006C603F" w:rsidP="00635F24">
            <w:pPr>
              <w:pStyle w:val="Caption"/>
              <w:keepNext/>
              <w:spacing w:after="0"/>
              <w:jc w:val="center"/>
              <w:rPr>
                <w:i/>
                <w:color w:val="auto"/>
                <w:sz w:val="24"/>
              </w:rPr>
            </w:pPr>
            <w:r>
              <w:rPr>
                <w:i/>
                <w:color w:val="auto"/>
                <w:sz w:val="24"/>
              </w:rPr>
              <w:t xml:space="preserve">as of 2016 (right). </w:t>
            </w:r>
          </w:p>
          <w:p w:rsidR="00C6310B" w:rsidRDefault="00877F96" w:rsidP="00C10D0F">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3798944</wp:posOffset>
                      </wp:positionH>
                      <wp:positionV relativeFrom="paragraph">
                        <wp:posOffset>753110</wp:posOffset>
                      </wp:positionV>
                      <wp:extent cx="65741" cy="699247"/>
                      <wp:effectExtent l="0" t="0" r="29845" b="24765"/>
                      <wp:wrapNone/>
                      <wp:docPr id="21" name="Connector: Elbow 21"/>
                      <wp:cNvGraphicFramePr/>
                      <a:graphic xmlns:a="http://schemas.openxmlformats.org/drawingml/2006/main">
                        <a:graphicData uri="http://schemas.microsoft.com/office/word/2010/wordprocessingShape">
                          <wps:wsp>
                            <wps:cNvCnPr/>
                            <wps:spPr>
                              <a:xfrm>
                                <a:off x="0" y="0"/>
                                <a:ext cx="65741" cy="699247"/>
                              </a:xfrm>
                              <a:prstGeom prst="bentConnector3">
                                <a:avLst>
                                  <a:gd name="adj1" fmla="val 103701"/>
                                </a:avLst>
                              </a:prstGeom>
                              <a:ln w="190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3DD5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299.15pt;margin-top:59.3pt;width:5.2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" adj="22399" strokecolor="black [3213]" strokeweight="1.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3625589</wp:posOffset>
                      </wp:positionH>
                      <wp:positionV relativeFrom="paragraph">
                        <wp:posOffset>1147445</wp:posOffset>
                      </wp:positionV>
                      <wp:extent cx="202565" cy="764540"/>
                      <wp:effectExtent l="0" t="0" r="997585" b="35560"/>
                      <wp:wrapNone/>
                      <wp:docPr id="17" name="Connector: Elbow 17"/>
                      <wp:cNvGraphicFramePr/>
                      <a:graphic xmlns:a="http://schemas.openxmlformats.org/drawingml/2006/main">
                        <a:graphicData uri="http://schemas.microsoft.com/office/word/2010/wordprocessingShape">
                          <wps:wsp>
                            <wps:cNvCnPr/>
                            <wps:spPr>
                              <a:xfrm flipH="1">
                                <a:off x="0" y="0"/>
                                <a:ext cx="202565" cy="764540"/>
                              </a:xfrm>
                              <a:prstGeom prst="bentConnector3">
                                <a:avLst>
                                  <a:gd name="adj1" fmla="val -477983"/>
                                </a:avLst>
                              </a:prstGeom>
                              <a:ln w="190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F9326" id="Connector: Elbow 17" o:spid="_x0000_s1026" type="#_x0000_t34" style="position:absolute;margin-left:285.5pt;margin-top:90.35pt;width:15.95pt;height:60.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" adj="-103244" strokecolor="black [3213]" strokeweight="1.5pt">
                      <v:stroke dashstyle="3 1"/>
                    </v:shape>
                  </w:pict>
                </mc:Fallback>
              </mc:AlternateContent>
            </w:r>
            <w:r w:rsidR="00C10D0F">
              <w:rPr>
                <w:noProof/>
              </w:rPr>
              <mc:AlternateContent>
                <mc:Choice Requires="wps">
                  <w:drawing>
                    <wp:anchor distT="0" distB="0" distL="114300" distR="114300" simplePos="0" relativeHeight="251660288" behindDoc="0" locked="0" layoutInCell="1" allowOverlap="1">
                      <wp:simplePos x="0" y="0"/>
                      <wp:positionH relativeFrom="column">
                        <wp:posOffset>2885103</wp:posOffset>
                      </wp:positionH>
                      <wp:positionV relativeFrom="paragraph">
                        <wp:posOffset>765810</wp:posOffset>
                      </wp:positionV>
                      <wp:extent cx="191247" cy="717176"/>
                      <wp:effectExtent l="19050" t="0" r="18415" b="26035"/>
                      <wp:wrapNone/>
                      <wp:docPr id="19" name="Connector: Elbow 19"/>
                      <wp:cNvGraphicFramePr/>
                      <a:graphic xmlns:a="http://schemas.openxmlformats.org/drawingml/2006/main">
                        <a:graphicData uri="http://schemas.microsoft.com/office/word/2010/wordprocessingShape">
                          <wps:wsp>
                            <wps:cNvCnPr/>
                            <wps:spPr>
                              <a:xfrm flipH="1">
                                <a:off x="0" y="0"/>
                                <a:ext cx="191247" cy="717176"/>
                              </a:xfrm>
                              <a:prstGeom prst="bentConnector3">
                                <a:avLst>
                                  <a:gd name="adj1" fmla="val 100127"/>
                                </a:avLst>
                              </a:prstGeom>
                              <a:ln w="190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A503D" id="Connector: Elbow 19" o:spid="_x0000_s1026" type="#_x0000_t34" style="position:absolute;margin-left:227.15pt;margin-top:60.3pt;width:15.05pt;height:56.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" adj="21627" strokecolor="black [3213]" strokeweight="1.5pt"/>
                  </w:pict>
                </mc:Fallback>
              </mc:AlternateContent>
            </w:r>
            <w:r w:rsidR="00C10D0F">
              <w:object w:dxaOrig="5980" w:dyaOrig="4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98.8pt;height:210.25pt" o:ole="">
                  <v:imagedata r:id="rId19" o:title=""/>
                </v:shape>
                <o:OLEObject Type="Embed" ProgID="PBrush" ShapeID="_x0000_i1042" DrawAspect="Content" ObjectID="_1599848891" r:id="rId20"/>
              </w:object>
            </w:r>
          </w:p>
          <w:p w:rsidR="00C6310B" w:rsidRDefault="00C6310B" w:rsidP="00C6310B"/>
        </w:tc>
      </w:tr>
    </w:tbl>
    <w:p w:rsidR="00C6310B" w:rsidRPr="00C6310B" w:rsidRDefault="00C6310B" w:rsidP="00C6310B"/>
    <w:p w:rsidR="00265ACB" w:rsidRDefault="00ED174D" w:rsidP="00037AE4">
      <w:pPr>
        <w:jc w:val="both"/>
      </w:pPr>
      <w:r>
        <w:t>Additionally, the database contains vari</w:t>
      </w:r>
      <w:r w:rsidR="006F1D6F">
        <w:t>ables that correspond to the three</w:t>
      </w:r>
      <w:r>
        <w:t xml:space="preserve"> levels </w:t>
      </w:r>
      <w:r w:rsidR="005922EA">
        <w:t xml:space="preserve">in the </w:t>
      </w:r>
      <w:r>
        <w:t>functional classification (</w:t>
      </w:r>
      <w:r w:rsidR="006F1D6F">
        <w:rPr>
          <w:i/>
        </w:rPr>
        <w:t xml:space="preserve">func1, </w:t>
      </w:r>
      <w:r>
        <w:rPr>
          <w:i/>
        </w:rPr>
        <w:t>func2</w:t>
      </w:r>
      <w:r w:rsidR="006F1D6F">
        <w:rPr>
          <w:i/>
        </w:rPr>
        <w:t>,</w:t>
      </w:r>
      <w:r w:rsidR="006F1D6F" w:rsidRPr="006F1D6F">
        <w:t xml:space="preserve"> and</w:t>
      </w:r>
      <w:r w:rsidR="006F1D6F">
        <w:rPr>
          <w:i/>
        </w:rPr>
        <w:t xml:space="preserve"> func3</w:t>
      </w:r>
      <w:r>
        <w:t xml:space="preserve">) found in </w:t>
      </w:r>
      <w:r w:rsidR="006F1D6F">
        <w:t>Moldova’s Chart of Accounts, five</w:t>
      </w:r>
      <w:r>
        <w:t xml:space="preserve"> levels of economic classification (</w:t>
      </w:r>
      <w:r>
        <w:rPr>
          <w:i/>
        </w:rPr>
        <w:t>econ1</w:t>
      </w:r>
      <w:r w:rsidR="006F1D6F">
        <w:t xml:space="preserve">, </w:t>
      </w:r>
      <w:r>
        <w:rPr>
          <w:i/>
        </w:rPr>
        <w:t>econ2</w:t>
      </w:r>
      <w:r w:rsidR="006F1D6F">
        <w:rPr>
          <w:i/>
        </w:rPr>
        <w:t xml:space="preserve">, econ3, econ4, econ5, </w:t>
      </w:r>
      <w:r w:rsidR="006F1D6F" w:rsidRPr="006F1D6F">
        <w:t>and</w:t>
      </w:r>
      <w:r w:rsidR="006F1D6F">
        <w:rPr>
          <w:i/>
        </w:rPr>
        <w:t xml:space="preserve"> econ6</w:t>
      </w:r>
      <w:r w:rsidR="004D3571">
        <w:t>), three</w:t>
      </w:r>
      <w:r w:rsidR="006F1D6F">
        <w:t xml:space="preserve"> </w:t>
      </w:r>
      <w:r>
        <w:t>levels of program classification (</w:t>
      </w:r>
      <w:r>
        <w:rPr>
          <w:i/>
        </w:rPr>
        <w:t>program1</w:t>
      </w:r>
      <w:r w:rsidR="004D3571">
        <w:t xml:space="preserve">, </w:t>
      </w:r>
      <w:r w:rsidR="004D3571">
        <w:rPr>
          <w:i/>
        </w:rPr>
        <w:t xml:space="preserve">subprogram </w:t>
      </w:r>
      <w:r w:rsidR="004D3571" w:rsidRPr="004D3571">
        <w:t>and</w:t>
      </w:r>
      <w:r w:rsidR="004D3571">
        <w:rPr>
          <w:i/>
        </w:rPr>
        <w:t xml:space="preserve"> activity</w:t>
      </w:r>
      <w:r w:rsidRPr="00ED174D">
        <w:t>)</w:t>
      </w:r>
      <w:r w:rsidR="004D3571">
        <w:t xml:space="preserve">, </w:t>
      </w:r>
      <w:r w:rsidR="006F1D6F">
        <w:t xml:space="preserve">and one level variable that corresponds to investment projects. </w:t>
      </w:r>
    </w:p>
    <w:p w:rsidR="00ED174D" w:rsidRDefault="00ED174D" w:rsidP="00037AE4">
      <w:pPr>
        <w:jc w:val="both"/>
      </w:pPr>
    </w:p>
    <w:p w:rsidR="00ED174D" w:rsidRDefault="00ED174D" w:rsidP="00037AE4">
      <w:pPr>
        <w:jc w:val="both"/>
      </w:pPr>
      <w:r>
        <w:t xml:space="preserve">The </w:t>
      </w:r>
      <w:r>
        <w:rPr>
          <w:i/>
        </w:rPr>
        <w:t>fin_source</w:t>
      </w:r>
      <w:r>
        <w:t xml:space="preserve"> variable identifies the source of financi</w:t>
      </w:r>
      <w:r w:rsidR="004448BF">
        <w:t xml:space="preserve">ng for a </w:t>
      </w:r>
      <w:proofErr w:type="gramStart"/>
      <w:r w:rsidR="004448BF">
        <w:t>particular expenditure</w:t>
      </w:r>
      <w:proofErr w:type="gramEnd"/>
      <w:r w:rsidR="004448BF">
        <w:t>. T</w:t>
      </w:r>
      <w:r w:rsidR="00345833">
        <w:t xml:space="preserve">here are three broad sources of expenditure financing – </w:t>
      </w:r>
      <w:r w:rsidR="00345833" w:rsidRPr="00345833">
        <w:rPr>
          <w:i/>
        </w:rPr>
        <w:t>fin_</w:t>
      </w:r>
      <w:r w:rsidR="00345833">
        <w:rPr>
          <w:i/>
        </w:rPr>
        <w:t>source1/fin_source2</w:t>
      </w:r>
      <w:r w:rsidR="00345833">
        <w:t xml:space="preserve">, which identify </w:t>
      </w:r>
      <w:r w:rsidR="00F44C4D">
        <w:t xml:space="preserve">the </w:t>
      </w:r>
      <w:r w:rsidR="00345833">
        <w:t xml:space="preserve">budget level, </w:t>
      </w:r>
      <w:r w:rsidR="00345833" w:rsidRPr="00345833">
        <w:rPr>
          <w:i/>
        </w:rPr>
        <w:t>fin_source3</w:t>
      </w:r>
      <w:r w:rsidR="00345833">
        <w:rPr>
          <w:i/>
        </w:rPr>
        <w:t>/fin_source4</w:t>
      </w:r>
      <w:r w:rsidR="00345833">
        <w:t xml:space="preserve">, which correspond to </w:t>
      </w:r>
      <w:r w:rsidR="00F44C4D">
        <w:t xml:space="preserve">the </w:t>
      </w:r>
      <w:r w:rsidR="00345833">
        <w:t xml:space="preserve">budget component, and </w:t>
      </w:r>
      <w:r w:rsidR="00345833">
        <w:rPr>
          <w:i/>
        </w:rPr>
        <w:t xml:space="preserve">fin_source5/fin_source6, </w:t>
      </w:r>
      <w:r w:rsidR="00345833">
        <w:t>which identify</w:t>
      </w:r>
      <w:r w:rsidR="00FC06AA">
        <w:t xml:space="preserve"> </w:t>
      </w:r>
      <w:r w:rsidR="00F44C4D">
        <w:t xml:space="preserve">the </w:t>
      </w:r>
      <w:r w:rsidR="00FC06AA">
        <w:t xml:space="preserve">origin of financing (e.g. donor funding). </w:t>
      </w:r>
    </w:p>
    <w:p w:rsidR="00ED174D" w:rsidRDefault="00ED174D" w:rsidP="00037AE4">
      <w:pPr>
        <w:jc w:val="both"/>
      </w:pPr>
    </w:p>
    <w:p w:rsidR="00ED174D" w:rsidRDefault="00ED174D" w:rsidP="00037AE4">
      <w:pPr>
        <w:jc w:val="both"/>
      </w:pPr>
      <w:r>
        <w:t xml:space="preserve">The database includes two additional custom variables: </w:t>
      </w:r>
      <w:r>
        <w:rPr>
          <w:i/>
        </w:rPr>
        <w:t xml:space="preserve">exp_type </w:t>
      </w:r>
      <w:r>
        <w:t xml:space="preserve">and </w:t>
      </w:r>
      <w:r>
        <w:rPr>
          <w:i/>
        </w:rPr>
        <w:t>transfer</w:t>
      </w:r>
      <w:r>
        <w:t xml:space="preserve">. </w:t>
      </w:r>
      <w:r w:rsidR="00586D65">
        <w:t xml:space="preserve">The variable </w:t>
      </w:r>
      <w:r w:rsidR="00586D65">
        <w:rPr>
          <w:i/>
        </w:rPr>
        <w:t>exp_type</w:t>
      </w:r>
      <w:r w:rsidR="00586D65">
        <w:t xml:space="preserve"> specifies the type of expenditures contained in a particular line of data, corresponding to four </w:t>
      </w:r>
      <w:r w:rsidR="00876457">
        <w:t xml:space="preserve">frequently </w:t>
      </w:r>
      <w:r w:rsidR="00586D65">
        <w:t xml:space="preserve">used economic spending categories: “Personnel” costs (contained within </w:t>
      </w:r>
      <w:r w:rsidR="0047792E">
        <w:t>the article</w:t>
      </w:r>
      <w:r w:rsidR="00586D65">
        <w:t xml:space="preserve"> </w:t>
      </w:r>
      <w:r w:rsidR="0047792E">
        <w:t>210000</w:t>
      </w:r>
      <w:r w:rsidR="00586D65">
        <w:t xml:space="preserve"> of the Moldova economic budget classification); “Non-personnel recurrent” cost</w:t>
      </w:r>
      <w:r w:rsidR="0047792E">
        <w:t>s (all other articles in the 200000</w:t>
      </w:r>
      <w:r w:rsidR="00586D65">
        <w:t xml:space="preserve"> economic family); “Capital</w:t>
      </w:r>
      <w:r w:rsidR="0047792E">
        <w:t>” costs (all articles in the 300000</w:t>
      </w:r>
      <w:r w:rsidR="00586D65">
        <w:t xml:space="preserve"> economic family); and “Other” (all other economic articles</w:t>
      </w:r>
      <w:r w:rsidR="0047792E">
        <w:t xml:space="preserve"> except article 100000, which identifies government revenues</w:t>
      </w:r>
      <w:r w:rsidR="00586D65">
        <w:t>).</w:t>
      </w:r>
      <w:r w:rsidR="00876457">
        <w:t xml:space="preserve"> These categories were defined in order to facilitate the common analytical uses of such expenditure breakdowns.</w:t>
      </w:r>
    </w:p>
    <w:p w:rsidR="00876457" w:rsidRDefault="00876457" w:rsidP="00037AE4">
      <w:pPr>
        <w:jc w:val="both"/>
      </w:pPr>
    </w:p>
    <w:p w:rsidR="00876457" w:rsidRDefault="00876457" w:rsidP="00037AE4">
      <w:pPr>
        <w:jc w:val="both"/>
      </w:pPr>
      <w:r>
        <w:t xml:space="preserve">The </w:t>
      </w:r>
      <w:r>
        <w:rPr>
          <w:i/>
        </w:rPr>
        <w:t>transfer</w:t>
      </w:r>
      <w:r>
        <w:t xml:space="preserve"> variable </w:t>
      </w:r>
      <w:r w:rsidR="00F86E4B">
        <w:t xml:space="preserve">was </w:t>
      </w:r>
      <w:r w:rsidR="008D2804">
        <w:t>defined</w:t>
      </w:r>
      <w:r w:rsidR="00F86E4B">
        <w:t xml:space="preserve"> to </w:t>
      </w:r>
      <w:r>
        <w:t xml:space="preserve">serve as a filter </w:t>
      </w:r>
      <w:r w:rsidR="00F86E4B">
        <w:t>for quickly performing budget consolidati</w:t>
      </w:r>
      <w:r w:rsidR="005922EA">
        <w:t>on</w:t>
      </w:r>
      <w:r w:rsidR="00F86E4B">
        <w:t xml:space="preserve"> across levels of government by excluding </w:t>
      </w:r>
      <w:r>
        <w:t>intrabudgetary transfers</w:t>
      </w:r>
      <w:r w:rsidR="00F86E4B">
        <w:t xml:space="preserve">. Economic articles </w:t>
      </w:r>
      <w:r w:rsidR="003842F2">
        <w:t>191-194 and 291-294</w:t>
      </w:r>
      <w:r w:rsidR="00F86E4B">
        <w:t xml:space="preserve"> are identified as “Intrabudgetary transfers” (as described in the previous section), while all other articles are tagged with the “Excluding</w:t>
      </w:r>
      <w:r w:rsidR="003842F2">
        <w:t xml:space="preserve"> transfers” label. By selecting</w:t>
      </w:r>
      <w:r w:rsidR="00F86E4B">
        <w:t xml:space="preserve"> the latter category, the user should be able to calculate the consolidated total expenditures</w:t>
      </w:r>
      <w:r w:rsidR="00BB580B">
        <w:t>/revenues</w:t>
      </w:r>
      <w:r w:rsidR="00F86E4B">
        <w:t xml:space="preserve"> across budgets </w:t>
      </w:r>
      <w:r w:rsidR="00F86E4B">
        <w:lastRenderedPageBreak/>
        <w:t>and levels of government.</w:t>
      </w:r>
      <w:r w:rsidR="0013175D">
        <w:t xml:space="preserve"> Similarly, the </w:t>
      </w:r>
      <w:r w:rsidR="0013175D" w:rsidRPr="0013175D">
        <w:rPr>
          <w:i/>
        </w:rPr>
        <w:t>econ0</w:t>
      </w:r>
      <w:r w:rsidR="0013175D">
        <w:t xml:space="preserve"> variable serves as a filter to select either revenues or expenditures. </w:t>
      </w:r>
    </w:p>
    <w:p w:rsidR="00F86E4B" w:rsidRDefault="00F86E4B" w:rsidP="00037AE4">
      <w:pPr>
        <w:jc w:val="both"/>
      </w:pPr>
    </w:p>
    <w:p w:rsidR="00F86E4B" w:rsidRPr="00F86E4B" w:rsidRDefault="00F86E4B" w:rsidP="00037AE4">
      <w:pPr>
        <w:jc w:val="both"/>
      </w:pPr>
      <w:r>
        <w:t xml:space="preserve">Finally, the database contains three variables that correspond to different budget amounts: </w:t>
      </w:r>
      <w:r>
        <w:rPr>
          <w:i/>
        </w:rPr>
        <w:t>approved</w:t>
      </w:r>
      <w:r>
        <w:t xml:space="preserve"> contains the nominal amount (in lei) that was approved by Parliament in each year’s budget for a specific line item; </w:t>
      </w:r>
      <w:r>
        <w:rPr>
          <w:i/>
        </w:rPr>
        <w:t>amended</w:t>
      </w:r>
      <w:r>
        <w:t xml:space="preserve"> lists the corresponding amount in the amended (year-end) budget; while </w:t>
      </w:r>
      <w:r>
        <w:rPr>
          <w:i/>
        </w:rPr>
        <w:t>executed</w:t>
      </w:r>
      <w:r>
        <w:t xml:space="preserve"> contains actual expenditure (budget execution) associated with that line item. Computing deviations across these variables can provide useful analytical insight on patterns of overspending and underspending in the Moldovan budget.</w:t>
      </w:r>
    </w:p>
    <w:p w:rsidR="00265ACB" w:rsidRPr="00E230C1" w:rsidRDefault="00265ACB" w:rsidP="00265ACB"/>
    <w:p w:rsidR="007450E8" w:rsidRDefault="007450E8">
      <w:pPr>
        <w:jc w:val="both"/>
        <w:sectPr w:rsidR="007450E8" w:rsidSect="00026BBE">
          <w:pgSz w:w="12240" w:h="15840"/>
          <w:pgMar w:top="1440" w:right="1440" w:bottom="1440" w:left="1440" w:header="708" w:footer="708" w:gutter="0"/>
          <w:cols w:space="708"/>
          <w:docGrid w:linePitch="360"/>
        </w:sectPr>
      </w:pPr>
      <w:r>
        <w:t xml:space="preserve">The described </w:t>
      </w:r>
      <w:r w:rsidR="00C2799F">
        <w:t xml:space="preserve">above BOOST variables </w:t>
      </w:r>
      <w:r w:rsidR="00611573">
        <w:t xml:space="preserve">correspond to the new budget classification effective as of 2016. </w:t>
      </w:r>
      <w:r w:rsidR="006C176A">
        <w:t xml:space="preserve"> The   new budget classification was mapped onto the </w:t>
      </w:r>
      <w:r w:rsidR="00DB1F16">
        <w:t>previous BOOST</w:t>
      </w:r>
      <w:r w:rsidR="006C176A">
        <w:t xml:space="preserve"> </w:t>
      </w:r>
      <w:r w:rsidR="006F0ABF">
        <w:t>structure.</w:t>
      </w:r>
      <w:r w:rsidR="00DB1F16">
        <w:t xml:space="preserve"> Each budget dimension (organizational, economic, functional, etc.) </w:t>
      </w:r>
      <w:r w:rsidR="002B4CB8">
        <w:t>was harmonized</w:t>
      </w:r>
      <w:r w:rsidR="006F0ABF">
        <w:t xml:space="preserve"> separately   subject to various degrees of limitation.</w:t>
      </w:r>
      <w:r w:rsidR="001269AF">
        <w:t xml:space="preserve"> </w:t>
      </w:r>
      <w:r w:rsidR="002B4CB8">
        <w:t xml:space="preserve">The </w:t>
      </w:r>
      <w:r w:rsidR="00E5009F">
        <w:t>bridge tables</w:t>
      </w:r>
      <w:r w:rsidR="002B4CB8">
        <w:t xml:space="preserve"> used </w:t>
      </w:r>
      <w:proofErr w:type="gramStart"/>
      <w:r w:rsidR="002B4CB8">
        <w:t>for the purpose</w:t>
      </w:r>
      <w:r w:rsidR="00E5009F">
        <w:t xml:space="preserve"> of</w:t>
      </w:r>
      <w:proofErr w:type="gramEnd"/>
      <w:r w:rsidR="00E5009F">
        <w:t xml:space="preserve"> the harmonization/mapping exercise are </w:t>
      </w:r>
      <w:r w:rsidR="001269AF">
        <w:t xml:space="preserve">discussed in </w:t>
      </w:r>
      <w:r w:rsidR="00E5009F">
        <w:t xml:space="preserve">greater detail in Chapter VI. </w:t>
      </w:r>
    </w:p>
    <w:p w:rsidR="00265ACB" w:rsidRPr="004E346F" w:rsidRDefault="00920017" w:rsidP="00265ACB">
      <w:pPr>
        <w:pStyle w:val="Heading1"/>
        <w:pBdr>
          <w:bottom w:val="single" w:sz="6" w:space="1" w:color="auto"/>
        </w:pBdr>
        <w:jc w:val="center"/>
        <w:rPr>
          <w:rFonts w:ascii="Times New Roman" w:hAnsi="Times New Roman" w:cs="Times New Roman"/>
          <w:color w:val="auto"/>
          <w:sz w:val="32"/>
          <w:szCs w:val="24"/>
        </w:rPr>
      </w:pPr>
      <w:bookmarkStart w:id="5" w:name="_Toc525924315"/>
      <w:r w:rsidRPr="004E346F">
        <w:rPr>
          <w:rFonts w:ascii="Times New Roman" w:hAnsi="Times New Roman" w:cs="Times New Roman"/>
          <w:color w:val="auto"/>
          <w:sz w:val="32"/>
          <w:szCs w:val="24"/>
        </w:rPr>
        <w:lastRenderedPageBreak/>
        <w:t xml:space="preserve">IV. </w:t>
      </w:r>
      <w:r w:rsidR="00265ACB" w:rsidRPr="004E346F">
        <w:rPr>
          <w:rFonts w:ascii="Times New Roman" w:hAnsi="Times New Roman" w:cs="Times New Roman"/>
          <w:color w:val="auto"/>
          <w:sz w:val="32"/>
          <w:szCs w:val="24"/>
        </w:rPr>
        <w:t>How to Use BOOST</w:t>
      </w:r>
      <w:bookmarkEnd w:id="5"/>
    </w:p>
    <w:p w:rsidR="00265ACB" w:rsidRDefault="00265ACB">
      <w:pPr>
        <w:jc w:val="both"/>
      </w:pPr>
    </w:p>
    <w:p w:rsidR="00D954D5" w:rsidRDefault="00E2188F">
      <w:pPr>
        <w:jc w:val="both"/>
      </w:pPr>
      <w:r>
        <w:t xml:space="preserve">For </w:t>
      </w:r>
      <w:r w:rsidR="00A90B55">
        <w:t>ease of use, the BOOST team has developed a standard user interface through which to access the BOOST government expenditure database</w:t>
      </w:r>
      <w:r w:rsidR="00D954D5">
        <w:t xml:space="preserve"> with the help of Excel PivotTables</w:t>
      </w:r>
      <w:r w:rsidR="00A90B55">
        <w:t xml:space="preserve">. </w:t>
      </w:r>
    </w:p>
    <w:p w:rsidR="00D954D5" w:rsidRDefault="00D954D5">
      <w:pPr>
        <w:jc w:val="both"/>
      </w:pPr>
    </w:p>
    <w:p w:rsidR="00D954D5" w:rsidRPr="00037AE4" w:rsidRDefault="00D954D5">
      <w:pPr>
        <w:ind w:left="720" w:right="720"/>
        <w:jc w:val="both"/>
        <w:rPr>
          <w:i/>
        </w:rPr>
      </w:pPr>
      <w:r w:rsidRPr="00037AE4">
        <w:rPr>
          <w:i/>
        </w:rPr>
        <w:t>A PivotTable report is an interactive way to quickly summarize large amounts of data. Use a PivotTable report to analyze numerical data in detail and to answer unanticipated questions about your data. A PivotTable report is especially designed for:</w:t>
      </w:r>
    </w:p>
    <w:p w:rsidR="00D954D5" w:rsidRPr="00037AE4" w:rsidRDefault="00D954D5">
      <w:pPr>
        <w:ind w:left="720" w:right="720"/>
        <w:jc w:val="both"/>
        <w:rPr>
          <w:i/>
        </w:rPr>
      </w:pPr>
    </w:p>
    <w:p w:rsidR="00D954D5" w:rsidRPr="00037AE4" w:rsidRDefault="00D954D5">
      <w:pPr>
        <w:pStyle w:val="ListParagraph"/>
        <w:numPr>
          <w:ilvl w:val="0"/>
          <w:numId w:val="10"/>
        </w:numPr>
        <w:spacing w:after="120"/>
        <w:ind w:left="1080" w:right="720"/>
        <w:contextualSpacing w:val="0"/>
        <w:jc w:val="both"/>
        <w:rPr>
          <w:i/>
        </w:rPr>
      </w:pPr>
      <w:r w:rsidRPr="00037AE4">
        <w:rPr>
          <w:i/>
        </w:rPr>
        <w:t>Querying large amounts of data in many user-friendly ways.</w:t>
      </w:r>
    </w:p>
    <w:p w:rsidR="00D954D5" w:rsidRPr="00037AE4" w:rsidRDefault="00D954D5">
      <w:pPr>
        <w:pStyle w:val="ListParagraph"/>
        <w:numPr>
          <w:ilvl w:val="0"/>
          <w:numId w:val="10"/>
        </w:numPr>
        <w:spacing w:after="120"/>
        <w:ind w:left="1080" w:right="720"/>
        <w:contextualSpacing w:val="0"/>
        <w:jc w:val="both"/>
        <w:rPr>
          <w:i/>
        </w:rPr>
      </w:pPr>
      <w:r w:rsidRPr="00037AE4">
        <w:rPr>
          <w:i/>
        </w:rPr>
        <w:t>Subtotaling and aggregating numeric data, summarizing data by categories and subcategories, and creating custom calculations and formulas.</w:t>
      </w:r>
    </w:p>
    <w:p w:rsidR="00D954D5" w:rsidRPr="00037AE4" w:rsidRDefault="00D954D5">
      <w:pPr>
        <w:pStyle w:val="ListParagraph"/>
        <w:numPr>
          <w:ilvl w:val="0"/>
          <w:numId w:val="10"/>
        </w:numPr>
        <w:spacing w:after="120"/>
        <w:ind w:left="1080" w:right="720"/>
        <w:contextualSpacing w:val="0"/>
        <w:jc w:val="both"/>
        <w:rPr>
          <w:i/>
        </w:rPr>
      </w:pPr>
      <w:r w:rsidRPr="00037AE4">
        <w:rPr>
          <w:i/>
        </w:rPr>
        <w:t>Expanding and collapsing levels of data to focus your results, and drilling down to details from the summary data for areas of interest to you.</w:t>
      </w:r>
    </w:p>
    <w:p w:rsidR="00D954D5" w:rsidRPr="00037AE4" w:rsidRDefault="00D954D5">
      <w:pPr>
        <w:pStyle w:val="ListParagraph"/>
        <w:numPr>
          <w:ilvl w:val="0"/>
          <w:numId w:val="10"/>
        </w:numPr>
        <w:spacing w:after="120"/>
        <w:ind w:left="1080" w:right="720"/>
        <w:contextualSpacing w:val="0"/>
        <w:jc w:val="both"/>
        <w:rPr>
          <w:i/>
        </w:rPr>
      </w:pPr>
      <w:r w:rsidRPr="00037AE4">
        <w:rPr>
          <w:i/>
        </w:rPr>
        <w:t xml:space="preserve">Moving rows to </w:t>
      </w:r>
      <w:r w:rsidR="00037AE4" w:rsidRPr="00037AE4">
        <w:rPr>
          <w:i/>
        </w:rPr>
        <w:t>columns or columns to rows (or “</w:t>
      </w:r>
      <w:r w:rsidRPr="00037AE4">
        <w:rPr>
          <w:i/>
        </w:rPr>
        <w:t>pivoting</w:t>
      </w:r>
      <w:r w:rsidR="00037AE4" w:rsidRPr="00037AE4">
        <w:rPr>
          <w:i/>
        </w:rPr>
        <w:t>”</w:t>
      </w:r>
      <w:r w:rsidRPr="00037AE4">
        <w:rPr>
          <w:i/>
        </w:rPr>
        <w:t>) to see different summaries of the source data.</w:t>
      </w:r>
    </w:p>
    <w:p w:rsidR="00D954D5" w:rsidRPr="00037AE4" w:rsidRDefault="00D954D5">
      <w:pPr>
        <w:pStyle w:val="ListParagraph"/>
        <w:numPr>
          <w:ilvl w:val="0"/>
          <w:numId w:val="10"/>
        </w:numPr>
        <w:spacing w:after="120"/>
        <w:ind w:left="1080" w:right="720"/>
        <w:contextualSpacing w:val="0"/>
        <w:jc w:val="both"/>
        <w:rPr>
          <w:i/>
        </w:rPr>
      </w:pPr>
      <w:r w:rsidRPr="00037AE4">
        <w:rPr>
          <w:i/>
        </w:rPr>
        <w:t>Filtering, sorting, grouping, and conditionally formatting the most useful and interesting subset of data to enable you to focus on the information that you want.</w:t>
      </w:r>
    </w:p>
    <w:p w:rsidR="00265ACB" w:rsidRDefault="00D954D5">
      <w:pPr>
        <w:pStyle w:val="ListParagraph"/>
        <w:numPr>
          <w:ilvl w:val="0"/>
          <w:numId w:val="10"/>
        </w:numPr>
        <w:spacing w:after="120"/>
        <w:ind w:left="1080" w:right="720"/>
        <w:contextualSpacing w:val="0"/>
        <w:jc w:val="both"/>
      </w:pPr>
      <w:r w:rsidRPr="00037AE4">
        <w:rPr>
          <w:i/>
        </w:rPr>
        <w:t>Presenting concise, attractive, and annotated online or printed reports.</w:t>
      </w:r>
      <w:r w:rsidR="00A90B55">
        <w:rPr>
          <w:rStyle w:val="FootnoteReference"/>
        </w:rPr>
        <w:footnoteReference w:id="4"/>
      </w:r>
    </w:p>
    <w:p w:rsidR="00265ACB" w:rsidRDefault="00265ACB">
      <w:pPr>
        <w:jc w:val="both"/>
      </w:pPr>
    </w:p>
    <w:p w:rsidR="00037AE4" w:rsidRDefault="00037AE4">
      <w:pPr>
        <w:jc w:val="both"/>
      </w:pPr>
      <w:r>
        <w:t>PivotTable</w:t>
      </w:r>
      <w:r w:rsidR="00DB013C">
        <w:t>s are straightforward and easy to use and allow for quick, customizable analyses of large amounts of data. This section presents several examples of us</w:t>
      </w:r>
      <w:r w:rsidR="005922EA">
        <w:t>e of</w:t>
      </w:r>
      <w:r w:rsidR="00DB013C">
        <w:t xml:space="preserve"> the BOOST PivotTable interface to genera</w:t>
      </w:r>
      <w:r w:rsidR="005922EA">
        <w:t>te</w:t>
      </w:r>
      <w:r w:rsidR="00DB013C">
        <w:t xml:space="preserve"> custom reports</w:t>
      </w:r>
      <w:r w:rsidR="00CF3AE6">
        <w:t xml:space="preserve">. With BOOST, as with many things in life, the </w:t>
      </w:r>
      <w:r w:rsidR="00DB013C">
        <w:t>best way to learn is by doing.</w:t>
      </w:r>
      <w:r w:rsidR="00E57312">
        <w:rPr>
          <w:rStyle w:val="FootnoteReference"/>
        </w:rPr>
        <w:footnoteReference w:id="5"/>
      </w:r>
    </w:p>
    <w:p w:rsidR="00DB013C" w:rsidRDefault="00DB013C" w:rsidP="00AA70B4">
      <w:pPr>
        <w:jc w:val="both"/>
      </w:pPr>
    </w:p>
    <w:p w:rsidR="00CF3AE6" w:rsidRDefault="00CF3AE6">
      <w:pPr>
        <w:jc w:val="both"/>
        <w:rPr>
          <w:b/>
          <w:i/>
        </w:rPr>
      </w:pPr>
      <w:r>
        <w:rPr>
          <w:b/>
          <w:i/>
        </w:rPr>
        <w:br w:type="page"/>
      </w:r>
    </w:p>
    <w:p w:rsidR="00E57312" w:rsidRDefault="00E57312" w:rsidP="00265ACB">
      <w:pPr>
        <w:rPr>
          <w:b/>
          <w:i/>
        </w:rPr>
      </w:pPr>
      <w:r>
        <w:rPr>
          <w:b/>
          <w:i/>
        </w:rPr>
        <w:lastRenderedPageBreak/>
        <w:t xml:space="preserve">Example 1: Time Trend Analysis </w:t>
      </w:r>
    </w:p>
    <w:p w:rsidR="00D7626A" w:rsidRDefault="00D7626A" w:rsidP="00D7626A"/>
    <w:p w:rsidR="00D7626A" w:rsidRPr="00CF3AE6" w:rsidRDefault="00D7626A" w:rsidP="00D7626A">
      <w:pPr>
        <w:jc w:val="both"/>
      </w:pPr>
      <w:r>
        <w:t>Figure 3 below presents a simple example of time trend analysis at the macro level. It reports (in nominal terms) the total government expenditures from 20</w:t>
      </w:r>
      <w:r w:rsidR="001E16BE">
        <w:t>14</w:t>
      </w:r>
      <w:r>
        <w:t xml:space="preserve"> to 20</w:t>
      </w:r>
      <w:r w:rsidR="001E16BE">
        <w:t>17</w:t>
      </w:r>
      <w:r>
        <w:t xml:space="preserve">, broken down by the top-level functional classification. To generate this PivotTable, </w:t>
      </w:r>
      <w:r>
        <w:rPr>
          <w:i/>
        </w:rPr>
        <w:t xml:space="preserve">func1 </w:t>
      </w:r>
      <w:r>
        <w:t xml:space="preserve">is placed in the “Row Labels” box, </w:t>
      </w:r>
      <w:r>
        <w:rPr>
          <w:i/>
        </w:rPr>
        <w:t xml:space="preserve">year </w:t>
      </w:r>
      <w:r>
        <w:t xml:space="preserve">in the “Column Labels” box, and </w:t>
      </w:r>
      <w:r>
        <w:rPr>
          <w:i/>
        </w:rPr>
        <w:t>transfer</w:t>
      </w:r>
      <w:r>
        <w:t xml:space="preserve"> (“Excluding transfers”)</w:t>
      </w:r>
      <w:r w:rsidR="00BE587B">
        <w:t xml:space="preserve"> and </w:t>
      </w:r>
      <w:r w:rsidR="00BE587B" w:rsidRPr="00BE587B">
        <w:rPr>
          <w:i/>
        </w:rPr>
        <w:t>econ0</w:t>
      </w:r>
      <w:r w:rsidR="00BE587B">
        <w:t xml:space="preserve"> (“Revenues/Expenditures</w:t>
      </w:r>
      <w:r w:rsidR="00355704">
        <w:t>”</w:t>
      </w:r>
      <w:r w:rsidR="00BE587B">
        <w:t>)</w:t>
      </w:r>
      <w:r>
        <w:t xml:space="preserve"> variable</w:t>
      </w:r>
      <w:r w:rsidR="00BE587B">
        <w:t xml:space="preserve">s are used as </w:t>
      </w:r>
      <w:r>
        <w:t>filter</w:t>
      </w:r>
      <w:r w:rsidR="00BE587B">
        <w:t>s</w:t>
      </w:r>
      <w:r>
        <w:t xml:space="preserve">. The values in the body of the table consist of the sum of the </w:t>
      </w:r>
      <w:r>
        <w:rPr>
          <w:i/>
        </w:rPr>
        <w:t xml:space="preserve">executed </w:t>
      </w:r>
      <w:r>
        <w:t>variable.</w:t>
      </w:r>
    </w:p>
    <w:p w:rsidR="00D7626A" w:rsidRDefault="00D7626A" w:rsidP="00D7626A"/>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D7626A" w:rsidTr="003E0CA1">
        <w:tc>
          <w:tcPr>
            <w:tcW w:w="9576" w:type="dxa"/>
          </w:tcPr>
          <w:p w:rsidR="00D7626A" w:rsidRDefault="00D7626A" w:rsidP="003E0CA1">
            <w:pPr>
              <w:jc w:val="center"/>
            </w:pPr>
          </w:p>
          <w:p w:rsidR="00D7626A" w:rsidRDefault="00D7626A" w:rsidP="003E0CA1">
            <w:pPr>
              <w:jc w:val="center"/>
              <w:rPr>
                <w:b/>
                <w:i/>
              </w:rPr>
            </w:pPr>
            <w:r>
              <w:rPr>
                <w:b/>
                <w:i/>
              </w:rPr>
              <w:t>Figure 3. Examining Government Expenditures across Years</w:t>
            </w:r>
          </w:p>
          <w:p w:rsidR="00EC56C6" w:rsidRDefault="00EC56C6" w:rsidP="003E0CA1">
            <w:pPr>
              <w:jc w:val="center"/>
              <w:rPr>
                <w:b/>
                <w:i/>
              </w:rPr>
            </w:pPr>
          </w:p>
          <w:p w:rsidR="00EC56C6" w:rsidRDefault="001E16BE" w:rsidP="003E0CA1">
            <w:pPr>
              <w:jc w:val="center"/>
            </w:pPr>
            <w:r>
              <w:rPr>
                <w:noProof/>
              </w:rPr>
              <w:drawing>
                <wp:inline distT="0" distB="0" distL="0" distR="0">
                  <wp:extent cx="5943600" cy="3188970"/>
                  <wp:effectExtent l="0" t="0" r="0" b="0"/>
                  <wp:docPr id="22" name="Picture 22" descr="Moldova BOOST public finance database 2014-2017 v4.0.xlsx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64D92C.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rsidR="00D7626A" w:rsidRDefault="00D7626A" w:rsidP="003E0CA1">
            <w:pPr>
              <w:jc w:val="center"/>
            </w:pPr>
          </w:p>
        </w:tc>
      </w:tr>
    </w:tbl>
    <w:p w:rsidR="00D7626A" w:rsidRDefault="00D7626A" w:rsidP="00D7626A">
      <w:pPr>
        <w:rPr>
          <w:b/>
          <w:i/>
        </w:rPr>
      </w:pPr>
    </w:p>
    <w:p w:rsidR="00D7626A" w:rsidRDefault="00D7626A" w:rsidP="00D7626A">
      <w:pPr>
        <w:rPr>
          <w:b/>
          <w:i/>
        </w:rPr>
      </w:pPr>
    </w:p>
    <w:p w:rsidR="00CF3AE6" w:rsidRDefault="00CF3AE6">
      <w:pPr>
        <w:jc w:val="both"/>
        <w:rPr>
          <w:b/>
          <w:i/>
        </w:rPr>
      </w:pPr>
    </w:p>
    <w:p w:rsidR="00D7626A" w:rsidRDefault="00D7626A">
      <w:pPr>
        <w:jc w:val="both"/>
        <w:rPr>
          <w:b/>
          <w:i/>
        </w:rPr>
      </w:pPr>
      <w:r>
        <w:rPr>
          <w:b/>
          <w:i/>
        </w:rPr>
        <w:br w:type="page"/>
      </w:r>
    </w:p>
    <w:p w:rsidR="00E57312" w:rsidRDefault="00E57312" w:rsidP="00265ACB">
      <w:pPr>
        <w:rPr>
          <w:b/>
          <w:i/>
        </w:rPr>
      </w:pPr>
      <w:r>
        <w:rPr>
          <w:b/>
          <w:i/>
        </w:rPr>
        <w:lastRenderedPageBreak/>
        <w:t xml:space="preserve">Example 2: Composition Breakdown </w:t>
      </w:r>
    </w:p>
    <w:p w:rsidR="00CF3AE6" w:rsidRDefault="00CF3AE6" w:rsidP="00CF3AE6"/>
    <w:p w:rsidR="0002191F" w:rsidRPr="00CF3AE6" w:rsidRDefault="0002191F" w:rsidP="00D7626A">
      <w:pPr>
        <w:jc w:val="both"/>
      </w:pPr>
      <w:r>
        <w:t>Figure 4 be</w:t>
      </w:r>
      <w:r w:rsidR="00BE587B">
        <w:t>low presents a breakdown of 2017 government revenue</w:t>
      </w:r>
      <w:r>
        <w:t xml:space="preserve"> by economic category and sub-category. To generate this PivotTable, </w:t>
      </w:r>
      <w:r w:rsidR="00217708">
        <w:rPr>
          <w:i/>
        </w:rPr>
        <w:t>econ3</w:t>
      </w:r>
      <w:r>
        <w:rPr>
          <w:i/>
        </w:rPr>
        <w:t xml:space="preserve"> </w:t>
      </w:r>
      <w:r w:rsidR="00BE587B">
        <w:t>is</w:t>
      </w:r>
      <w:r>
        <w:t xml:space="preserve"> placed in the “Row Labels” box, </w:t>
      </w:r>
      <w:r w:rsidR="00BE587B">
        <w:rPr>
          <w:i/>
        </w:rPr>
        <w:t>econ</w:t>
      </w:r>
      <w:r w:rsidR="00217708">
        <w:rPr>
          <w:i/>
        </w:rPr>
        <w:t>2</w:t>
      </w:r>
      <w:r>
        <w:t xml:space="preserve"> in the “Column Labels” box, and </w:t>
      </w:r>
      <w:r>
        <w:rPr>
          <w:i/>
        </w:rPr>
        <w:t>transfer</w:t>
      </w:r>
      <w:r w:rsidR="00667961">
        <w:t xml:space="preserve"> (“Excluding transfers”),</w:t>
      </w:r>
      <w:r w:rsidR="00BE587B">
        <w:t xml:space="preserve"> </w:t>
      </w:r>
      <w:r w:rsidR="00BE587B" w:rsidRPr="00BE587B">
        <w:rPr>
          <w:i/>
        </w:rPr>
        <w:t>econ0</w:t>
      </w:r>
      <w:r w:rsidR="00BE587B">
        <w:t xml:space="preserve"> (“</w:t>
      </w:r>
      <w:r w:rsidR="00137CC9">
        <w:t>Revenues/E</w:t>
      </w:r>
      <w:r w:rsidR="00BE587B">
        <w:t xml:space="preserve">xpenditures”) </w:t>
      </w:r>
      <w:r>
        <w:t xml:space="preserve">and </w:t>
      </w:r>
      <w:r>
        <w:rPr>
          <w:i/>
        </w:rPr>
        <w:t>year</w:t>
      </w:r>
      <w:r w:rsidR="00BE587B">
        <w:t xml:space="preserve"> (“2017</w:t>
      </w:r>
      <w:r>
        <w:t xml:space="preserve">”) variables are used as filters. The values in the body of the table consist of the sum of the </w:t>
      </w:r>
      <w:r>
        <w:rPr>
          <w:i/>
        </w:rPr>
        <w:t xml:space="preserve">executed </w:t>
      </w:r>
      <w:r>
        <w:t>variable.</w:t>
      </w:r>
    </w:p>
    <w:p w:rsidR="0002191F" w:rsidRDefault="0002191F" w:rsidP="00CF3AE6"/>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CF3AE6" w:rsidTr="009E4B9B">
        <w:tc>
          <w:tcPr>
            <w:tcW w:w="9576" w:type="dxa"/>
          </w:tcPr>
          <w:p w:rsidR="00CF3AE6" w:rsidRDefault="00CF3AE6" w:rsidP="0002191F">
            <w:pPr>
              <w:jc w:val="center"/>
            </w:pPr>
          </w:p>
          <w:p w:rsidR="00CF3AE6" w:rsidRDefault="00CF3AE6" w:rsidP="0002191F">
            <w:pPr>
              <w:jc w:val="center"/>
              <w:rPr>
                <w:b/>
                <w:i/>
              </w:rPr>
            </w:pPr>
            <w:r>
              <w:rPr>
                <w:b/>
                <w:i/>
              </w:rPr>
              <w:t xml:space="preserve">Figure 4. Examining the Composition of </w:t>
            </w:r>
            <w:r w:rsidR="007D4284">
              <w:rPr>
                <w:b/>
                <w:i/>
              </w:rPr>
              <w:t xml:space="preserve">Budget </w:t>
            </w:r>
            <w:r w:rsidR="00217708">
              <w:rPr>
                <w:b/>
                <w:i/>
              </w:rPr>
              <w:t>Revenues by Type</w:t>
            </w:r>
          </w:p>
          <w:p w:rsidR="007D4284" w:rsidRDefault="007D4284" w:rsidP="0002191F">
            <w:pPr>
              <w:jc w:val="center"/>
              <w:rPr>
                <w:b/>
                <w:i/>
              </w:rPr>
            </w:pPr>
            <w:r>
              <w:rPr>
                <w:b/>
                <w:i/>
                <w:noProof/>
              </w:rPr>
              <w:drawing>
                <wp:inline distT="0" distB="0" distL="0" distR="0">
                  <wp:extent cx="5708015" cy="3005963"/>
                  <wp:effectExtent l="0" t="0" r="6985" b="4445"/>
                  <wp:docPr id="23" name="Picture 23" descr="Moldova BOOST public finance database 2014-2017 v4.0.xlsx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49D1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847" cy="3016407"/>
                          </a:xfrm>
                          <a:prstGeom prst="rect">
                            <a:avLst/>
                          </a:prstGeom>
                        </pic:spPr>
                      </pic:pic>
                    </a:graphicData>
                  </a:graphic>
                </wp:inline>
              </w:drawing>
            </w:r>
          </w:p>
          <w:p w:rsidR="00C712A8" w:rsidRDefault="00C712A8" w:rsidP="00C712A8">
            <w:pPr>
              <w:jc w:val="center"/>
            </w:pPr>
          </w:p>
        </w:tc>
      </w:tr>
    </w:tbl>
    <w:p w:rsidR="00CF3AE6" w:rsidRDefault="00CF3AE6" w:rsidP="00CF3AE6">
      <w:pPr>
        <w:rPr>
          <w:b/>
          <w:i/>
        </w:rPr>
      </w:pPr>
    </w:p>
    <w:p w:rsidR="00CF3AE6" w:rsidRDefault="00CF3AE6" w:rsidP="00CF3AE6">
      <w:pPr>
        <w:rPr>
          <w:b/>
          <w:i/>
        </w:rPr>
      </w:pPr>
    </w:p>
    <w:p w:rsidR="00CF3AE6" w:rsidRDefault="00CF3AE6">
      <w:pPr>
        <w:jc w:val="both"/>
        <w:rPr>
          <w:b/>
          <w:i/>
        </w:rPr>
      </w:pPr>
    </w:p>
    <w:p w:rsidR="00CF3AE6" w:rsidRDefault="00CF3AE6">
      <w:pPr>
        <w:jc w:val="both"/>
        <w:rPr>
          <w:b/>
          <w:i/>
        </w:rPr>
      </w:pPr>
      <w:r>
        <w:rPr>
          <w:b/>
          <w:i/>
        </w:rPr>
        <w:br w:type="page"/>
      </w:r>
    </w:p>
    <w:p w:rsidR="00E57312" w:rsidRDefault="00E57312" w:rsidP="00265ACB">
      <w:pPr>
        <w:rPr>
          <w:b/>
          <w:i/>
        </w:rPr>
      </w:pPr>
      <w:r>
        <w:rPr>
          <w:b/>
          <w:i/>
        </w:rPr>
        <w:lastRenderedPageBreak/>
        <w:t xml:space="preserve">Example 3: Geographic Variation </w:t>
      </w:r>
    </w:p>
    <w:p w:rsidR="002D7A12" w:rsidRDefault="002D7A12" w:rsidP="00265ACB"/>
    <w:p w:rsidR="00DB013C" w:rsidRPr="00CF3AE6" w:rsidRDefault="002D7A12" w:rsidP="00D7626A">
      <w:pPr>
        <w:jc w:val="both"/>
      </w:pPr>
      <w:r>
        <w:t>Figure 5 be</w:t>
      </w:r>
      <w:r w:rsidR="007D4284">
        <w:t>low presents a breakdown of 2017 education expenditure</w:t>
      </w:r>
      <w:r>
        <w:t xml:space="preserve"> by raion and expenditure type. To generate this PivotTable, </w:t>
      </w:r>
      <w:r>
        <w:rPr>
          <w:i/>
        </w:rPr>
        <w:t>admin2</w:t>
      </w:r>
      <w:r>
        <w:t xml:space="preserve"> </w:t>
      </w:r>
      <w:r w:rsidR="00CF3AE6">
        <w:t xml:space="preserve">is </w:t>
      </w:r>
      <w:r>
        <w:t xml:space="preserve">placed in the “Row Labels” box, </w:t>
      </w:r>
      <w:r>
        <w:rPr>
          <w:i/>
        </w:rPr>
        <w:t>exp_type</w:t>
      </w:r>
      <w:r>
        <w:t xml:space="preserve"> in the “Column Labels” box, and </w:t>
      </w:r>
      <w:r>
        <w:rPr>
          <w:i/>
        </w:rPr>
        <w:t>transfer</w:t>
      </w:r>
      <w:r>
        <w:t xml:space="preserve"> (“Excluding transfers”), </w:t>
      </w:r>
      <w:r>
        <w:rPr>
          <w:i/>
        </w:rPr>
        <w:t>year</w:t>
      </w:r>
      <w:r w:rsidR="007D4284">
        <w:t xml:space="preserve"> (“2017</w:t>
      </w:r>
      <w:r>
        <w:t xml:space="preserve">”), </w:t>
      </w:r>
      <w:r w:rsidRPr="002D7A12">
        <w:rPr>
          <w:i/>
        </w:rPr>
        <w:t>admin1</w:t>
      </w:r>
      <w:r>
        <w:t xml:space="preserve"> (“Local”),</w:t>
      </w:r>
      <w:r w:rsidR="007D4284">
        <w:t xml:space="preserve"> </w:t>
      </w:r>
      <w:r w:rsidR="007D4284">
        <w:rPr>
          <w:i/>
        </w:rPr>
        <w:t>econ0</w:t>
      </w:r>
      <w:r w:rsidR="007D4284">
        <w:t xml:space="preserve"> (“Revenues/Expenditures”</w:t>
      </w:r>
      <w:r w:rsidR="00137CC9">
        <w:t>), and</w:t>
      </w:r>
      <w:r>
        <w:t xml:space="preserve"> </w:t>
      </w:r>
      <w:r>
        <w:rPr>
          <w:i/>
        </w:rPr>
        <w:t>func1</w:t>
      </w:r>
      <w:r w:rsidR="00CE328A">
        <w:t>(“09</w:t>
      </w:r>
      <w:r>
        <w:t xml:space="preserve"> Education”) variables </w:t>
      </w:r>
      <w:r w:rsidR="00CF3AE6">
        <w:t xml:space="preserve">are </w:t>
      </w:r>
      <w:r>
        <w:t>used as filters.</w:t>
      </w:r>
      <w:r w:rsidR="00CF3AE6">
        <w:t xml:space="preserve"> The values in the body of the table consist of the sum of the </w:t>
      </w:r>
      <w:r w:rsidR="00CF3AE6">
        <w:rPr>
          <w:i/>
        </w:rPr>
        <w:t xml:space="preserve">executed </w:t>
      </w:r>
      <w:r w:rsidR="00CF3AE6">
        <w:t>variable.</w:t>
      </w:r>
    </w:p>
    <w:p w:rsidR="009A12C4" w:rsidRDefault="009A12C4" w:rsidP="009A12C4"/>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9A12C4" w:rsidTr="009E4B9B">
        <w:tc>
          <w:tcPr>
            <w:tcW w:w="9576" w:type="dxa"/>
          </w:tcPr>
          <w:p w:rsidR="009A12C4" w:rsidRDefault="009A12C4" w:rsidP="002D7A12">
            <w:pPr>
              <w:jc w:val="center"/>
            </w:pPr>
          </w:p>
          <w:p w:rsidR="009A12C4" w:rsidRDefault="009A12C4" w:rsidP="009A12C4">
            <w:pPr>
              <w:jc w:val="center"/>
              <w:rPr>
                <w:b/>
                <w:i/>
              </w:rPr>
            </w:pPr>
            <w:r>
              <w:rPr>
                <w:b/>
                <w:i/>
              </w:rPr>
              <w:t>Figure 5. Examining Differences in Spending across Geographic Areas</w:t>
            </w:r>
          </w:p>
          <w:p w:rsidR="00CE328A" w:rsidRDefault="00CE328A" w:rsidP="009A12C4">
            <w:pPr>
              <w:jc w:val="center"/>
              <w:rPr>
                <w:b/>
                <w:i/>
              </w:rPr>
            </w:pPr>
          </w:p>
          <w:p w:rsidR="00CE328A" w:rsidRDefault="00CE328A" w:rsidP="009A12C4">
            <w:pPr>
              <w:jc w:val="center"/>
              <w:rPr>
                <w:b/>
                <w:i/>
              </w:rPr>
            </w:pPr>
            <w:r>
              <w:rPr>
                <w:b/>
                <w:i/>
                <w:noProof/>
              </w:rPr>
              <w:drawing>
                <wp:inline distT="0" distB="0" distL="0" distR="0">
                  <wp:extent cx="5943600" cy="3188970"/>
                  <wp:effectExtent l="0" t="0" r="0" b="0"/>
                  <wp:docPr id="24" name="Picture 24" descr="Moldova BOOST public finance database 2014-2017 v4.0.xlsx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64678B.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rsidR="009A12C4" w:rsidRDefault="009A12C4" w:rsidP="002D7A12">
            <w:pPr>
              <w:jc w:val="center"/>
            </w:pPr>
          </w:p>
        </w:tc>
      </w:tr>
    </w:tbl>
    <w:p w:rsidR="009A12C4" w:rsidRDefault="009A12C4" w:rsidP="00265ACB">
      <w:pPr>
        <w:rPr>
          <w:b/>
          <w:i/>
        </w:rPr>
      </w:pPr>
    </w:p>
    <w:p w:rsidR="009A12C4" w:rsidRDefault="009A12C4" w:rsidP="00265ACB">
      <w:pPr>
        <w:rPr>
          <w:b/>
          <w:i/>
        </w:rPr>
      </w:pPr>
    </w:p>
    <w:p w:rsidR="00CF3AE6" w:rsidRDefault="00CF3AE6">
      <w:pPr>
        <w:jc w:val="both"/>
        <w:rPr>
          <w:b/>
          <w:i/>
        </w:rPr>
      </w:pPr>
      <w:r>
        <w:rPr>
          <w:b/>
          <w:i/>
        </w:rPr>
        <w:br w:type="page"/>
      </w:r>
    </w:p>
    <w:p w:rsidR="000E4BBA" w:rsidRPr="000E4BBA" w:rsidRDefault="000E4BBA" w:rsidP="00265ACB">
      <w:pPr>
        <w:sectPr w:rsidR="000E4BBA" w:rsidRPr="000E4BBA" w:rsidSect="00026BBE">
          <w:pgSz w:w="12240" w:h="15840"/>
          <w:pgMar w:top="1440" w:right="1440" w:bottom="1440" w:left="1440" w:header="708" w:footer="708" w:gutter="0"/>
          <w:cols w:space="708"/>
          <w:docGrid w:linePitch="360"/>
        </w:sectPr>
      </w:pPr>
    </w:p>
    <w:p w:rsidR="004E346F" w:rsidRPr="004E346F" w:rsidRDefault="004E346F" w:rsidP="004E346F">
      <w:pPr>
        <w:pStyle w:val="Heading1"/>
        <w:pBdr>
          <w:bottom w:val="single" w:sz="6" w:space="1" w:color="auto"/>
        </w:pBdr>
        <w:jc w:val="center"/>
        <w:rPr>
          <w:rFonts w:ascii="Times New Roman" w:hAnsi="Times New Roman" w:cs="Times New Roman"/>
          <w:color w:val="auto"/>
          <w:sz w:val="32"/>
          <w:szCs w:val="24"/>
        </w:rPr>
      </w:pPr>
      <w:bookmarkStart w:id="6" w:name="_Toc525924316"/>
      <w:r w:rsidRPr="004E346F">
        <w:rPr>
          <w:rFonts w:ascii="Times New Roman" w:hAnsi="Times New Roman" w:cs="Times New Roman"/>
          <w:color w:val="auto"/>
          <w:sz w:val="32"/>
          <w:szCs w:val="24"/>
        </w:rPr>
        <w:lastRenderedPageBreak/>
        <w:t>V. Glossary</w:t>
      </w:r>
      <w:bookmarkEnd w:id="6"/>
    </w:p>
    <w:p w:rsidR="004E346F" w:rsidRPr="0050650F" w:rsidRDefault="004E346F" w:rsidP="004E346F">
      <w:pPr>
        <w:tabs>
          <w:tab w:val="left" w:pos="1440"/>
        </w:tabs>
        <w:jc w:val="both"/>
      </w:pPr>
    </w:p>
    <w:p w:rsidR="004E346F" w:rsidRPr="00797339" w:rsidRDefault="004E346F" w:rsidP="004E346F">
      <w:pPr>
        <w:tabs>
          <w:tab w:val="left" w:pos="1440"/>
        </w:tabs>
        <w:ind w:left="1416" w:hanging="1416"/>
        <w:jc w:val="both"/>
      </w:pPr>
      <w:r w:rsidRPr="00C42273">
        <w:rPr>
          <w:i/>
        </w:rPr>
        <w:t>BOOST</w:t>
      </w:r>
      <w:r>
        <w:t>:</w:t>
      </w:r>
      <w:r>
        <w:tab/>
        <w:t>A project of the World Bank aimed at enhancing</w:t>
      </w:r>
      <w:r w:rsidRPr="00A205B0">
        <w:t xml:space="preserve"> the transparency and efficiency of public spending across the globe by improving access to government expenditure data and linking </w:t>
      </w:r>
      <w:r>
        <w:t>spending to outcomes through rigorous public expenditure analysis.  “BOOST” is not an acronym.</w:t>
      </w:r>
    </w:p>
    <w:p w:rsidR="004E346F" w:rsidRDefault="004E346F" w:rsidP="004E346F">
      <w:pPr>
        <w:tabs>
          <w:tab w:val="left" w:pos="1440"/>
        </w:tabs>
        <w:jc w:val="both"/>
      </w:pPr>
    </w:p>
    <w:p w:rsidR="004E346F" w:rsidRDefault="004E346F" w:rsidP="004E346F">
      <w:pPr>
        <w:tabs>
          <w:tab w:val="left" w:pos="1440"/>
        </w:tabs>
        <w:ind w:left="1416" w:hanging="1416"/>
        <w:jc w:val="both"/>
      </w:pPr>
      <w:r w:rsidRPr="00C42273">
        <w:rPr>
          <w:i/>
        </w:rPr>
        <w:t>BS</w:t>
      </w:r>
      <w:r>
        <w:t xml:space="preserve">: </w:t>
      </w:r>
      <w:r>
        <w:tab/>
        <w:t xml:space="preserve">State budget of the Republic of Moldova, which includes all </w:t>
      </w:r>
      <w:r w:rsidR="00E80D58">
        <w:t>public-sector</w:t>
      </w:r>
      <w:r>
        <w:t xml:space="preserve"> spending at the central government level, except for expenditures by the autonomous social insurance and health insurance funds (BASS and FAOAM, respectively).</w:t>
      </w:r>
    </w:p>
    <w:p w:rsidR="00E80D58" w:rsidRPr="00797339" w:rsidRDefault="00E80D58" w:rsidP="004E346F">
      <w:pPr>
        <w:tabs>
          <w:tab w:val="left" w:pos="1440"/>
        </w:tabs>
        <w:ind w:left="1416" w:hanging="1416"/>
        <w:jc w:val="both"/>
      </w:pPr>
    </w:p>
    <w:p w:rsidR="00E80D58" w:rsidRDefault="00E80D58" w:rsidP="00E80D58">
      <w:pPr>
        <w:tabs>
          <w:tab w:val="left" w:pos="1440"/>
        </w:tabs>
        <w:ind w:left="1416" w:hanging="1416"/>
        <w:jc w:val="both"/>
      </w:pPr>
      <w:r w:rsidRPr="0050650F">
        <w:rPr>
          <w:i/>
        </w:rPr>
        <w:t>ATU</w:t>
      </w:r>
      <w:r>
        <w:t xml:space="preserve">: </w:t>
      </w:r>
      <w:r>
        <w:tab/>
        <w:t xml:space="preserve">Administrative territorial units of the Republic of Moldova.  These include 32 districts (“raions”), two municipalities (Chişinău and </w:t>
      </w:r>
      <w:r w:rsidRPr="00BF3D0D">
        <w:t>Bălţi</w:t>
      </w:r>
      <w:r>
        <w:t>), and the autonomous territorial unit of Gagauzia. BOOST expenditure data do not cover districts and municipalities on the left bank of the Nistru river (Transnistria).</w:t>
      </w:r>
    </w:p>
    <w:p w:rsidR="004E346F" w:rsidRDefault="004E346F" w:rsidP="004E346F">
      <w:pPr>
        <w:tabs>
          <w:tab w:val="left" w:pos="1440"/>
        </w:tabs>
        <w:jc w:val="both"/>
      </w:pPr>
    </w:p>
    <w:p w:rsidR="004E346F" w:rsidRPr="00797339" w:rsidRDefault="004E346F" w:rsidP="004E346F">
      <w:pPr>
        <w:tabs>
          <w:tab w:val="left" w:pos="1440"/>
        </w:tabs>
        <w:ind w:left="1416" w:hanging="1416"/>
        <w:jc w:val="both"/>
      </w:pPr>
      <w:r w:rsidRPr="00C42273">
        <w:rPr>
          <w:i/>
        </w:rPr>
        <w:t>BUAT</w:t>
      </w:r>
      <w:r>
        <w:t>:</w:t>
      </w:r>
      <w:r>
        <w:tab/>
        <w:t>Budget of a</w:t>
      </w:r>
      <w:r w:rsidR="00EA478C">
        <w:t>dministrative</w:t>
      </w:r>
      <w:r>
        <w:t xml:space="preserve"> territorial units, which includes spending by secon</w:t>
      </w:r>
      <w:r w:rsidR="00136A0A">
        <w:t>d-level authorities (districts</w:t>
      </w:r>
      <w:proofErr w:type="gramStart"/>
      <w:r w:rsidR="00136A0A">
        <w:t>/</w:t>
      </w:r>
      <w:r>
        <w:t>“</w:t>
      </w:r>
      <w:proofErr w:type="gramEnd"/>
      <w:r>
        <w:t>raions”), first-level authorities (mayoralties/“primarias”), and all local government institutions.</w:t>
      </w:r>
    </w:p>
    <w:p w:rsidR="004E346F" w:rsidRDefault="004E346F" w:rsidP="004E346F">
      <w:pPr>
        <w:tabs>
          <w:tab w:val="left" w:pos="1440"/>
        </w:tabs>
        <w:jc w:val="both"/>
      </w:pPr>
    </w:p>
    <w:p w:rsidR="004E346F" w:rsidRPr="00797339" w:rsidRDefault="004E346F" w:rsidP="004E346F">
      <w:pPr>
        <w:tabs>
          <w:tab w:val="left" w:pos="1440"/>
        </w:tabs>
        <w:ind w:left="1416" w:hanging="1416"/>
        <w:jc w:val="both"/>
      </w:pPr>
      <w:r w:rsidRPr="00C42273">
        <w:rPr>
          <w:i/>
        </w:rPr>
        <w:t>CoA</w:t>
      </w:r>
      <w:r>
        <w:t>:</w:t>
      </w:r>
      <w:r>
        <w:tab/>
        <w:t>Chart of accounts, a universal budget classification used by all state and local authorities in Moldova to report financial information to the State Treasury.  The CoA contains classification codes for economic, functional, administrative, and other types of budget classification.</w:t>
      </w:r>
    </w:p>
    <w:p w:rsidR="004E346F" w:rsidRDefault="004E346F" w:rsidP="004E346F">
      <w:pPr>
        <w:tabs>
          <w:tab w:val="left" w:pos="1440"/>
        </w:tabs>
        <w:jc w:val="both"/>
      </w:pPr>
    </w:p>
    <w:p w:rsidR="004E346F" w:rsidRPr="0050650F" w:rsidRDefault="004E346F" w:rsidP="004E346F">
      <w:pPr>
        <w:tabs>
          <w:tab w:val="left" w:pos="1440"/>
        </w:tabs>
        <w:ind w:left="1416" w:hanging="1416"/>
        <w:jc w:val="both"/>
        <w:rPr>
          <w:bCs/>
        </w:rPr>
      </w:pPr>
      <w:r w:rsidRPr="0050650F">
        <w:rPr>
          <w:i/>
        </w:rPr>
        <w:t>FAOAM</w:t>
      </w:r>
      <w:r>
        <w:t xml:space="preserve">: </w:t>
      </w:r>
      <w:r>
        <w:tab/>
      </w:r>
      <w:r>
        <w:rPr>
          <w:bCs/>
        </w:rPr>
        <w:t xml:space="preserve">Mandatory medical </w:t>
      </w:r>
      <w:r w:rsidRPr="0050650F">
        <w:rPr>
          <w:bCs/>
        </w:rPr>
        <w:t xml:space="preserve">insurance </w:t>
      </w:r>
      <w:r>
        <w:rPr>
          <w:bCs/>
        </w:rPr>
        <w:t xml:space="preserve">fund </w:t>
      </w:r>
      <w:r w:rsidRPr="0050650F">
        <w:rPr>
          <w:bCs/>
        </w:rPr>
        <w:t xml:space="preserve">(“fondurilor asigurărilor obligatorii de asistenţă medicală”), a separate budget administered by the National </w:t>
      </w:r>
      <w:r>
        <w:rPr>
          <w:bCs/>
        </w:rPr>
        <w:t xml:space="preserve">Medical </w:t>
      </w:r>
      <w:r w:rsidRPr="0050650F">
        <w:rPr>
          <w:bCs/>
        </w:rPr>
        <w:t xml:space="preserve">Insurance </w:t>
      </w:r>
      <w:r>
        <w:rPr>
          <w:bCs/>
        </w:rPr>
        <w:t xml:space="preserve">Company </w:t>
      </w:r>
      <w:r w:rsidRPr="0050650F">
        <w:rPr>
          <w:bCs/>
        </w:rPr>
        <w:t>(CNA</w:t>
      </w:r>
      <w:r>
        <w:rPr>
          <w:bCs/>
        </w:rPr>
        <w:t>M</w:t>
      </w:r>
      <w:r w:rsidRPr="0050650F">
        <w:rPr>
          <w:bCs/>
        </w:rPr>
        <w:t>).</w:t>
      </w:r>
    </w:p>
    <w:p w:rsidR="004E346F" w:rsidRDefault="004E346F" w:rsidP="004E346F">
      <w:pPr>
        <w:tabs>
          <w:tab w:val="left" w:pos="1440"/>
        </w:tabs>
        <w:jc w:val="both"/>
      </w:pPr>
    </w:p>
    <w:p w:rsidR="00E80D58" w:rsidRDefault="00E80D58" w:rsidP="00E80D58">
      <w:pPr>
        <w:tabs>
          <w:tab w:val="left" w:pos="1440"/>
        </w:tabs>
        <w:ind w:left="1416" w:hanging="1416"/>
        <w:jc w:val="both"/>
        <w:rPr>
          <w:bCs/>
        </w:rPr>
      </w:pPr>
      <w:r w:rsidRPr="0050650F">
        <w:rPr>
          <w:i/>
        </w:rPr>
        <w:t>BASS</w:t>
      </w:r>
      <w:r w:rsidRPr="0050650F">
        <w:t xml:space="preserve">: </w:t>
      </w:r>
      <w:r>
        <w:tab/>
      </w:r>
      <w:r>
        <w:rPr>
          <w:bCs/>
        </w:rPr>
        <w:t>State social insurance budget (“</w:t>
      </w:r>
      <w:r w:rsidRPr="0050650F">
        <w:rPr>
          <w:bCs/>
        </w:rPr>
        <w:t>bugetului asigurărilor sociale de stat</w:t>
      </w:r>
      <w:r>
        <w:rPr>
          <w:bCs/>
        </w:rPr>
        <w:t>”</w:t>
      </w:r>
      <w:r w:rsidRPr="0050650F">
        <w:rPr>
          <w:bCs/>
        </w:rPr>
        <w:t>)</w:t>
      </w:r>
      <w:r>
        <w:rPr>
          <w:bCs/>
        </w:rPr>
        <w:t>, a separate budget administered by the National Social Insurance House (CNAS).</w:t>
      </w:r>
    </w:p>
    <w:p w:rsidR="004E346F" w:rsidRDefault="004E346F" w:rsidP="004E346F">
      <w:pPr>
        <w:tabs>
          <w:tab w:val="left" w:pos="1440"/>
        </w:tabs>
        <w:jc w:val="both"/>
      </w:pPr>
    </w:p>
    <w:p w:rsidR="004E346F" w:rsidRDefault="004E346F" w:rsidP="004E346F">
      <w:pPr>
        <w:tabs>
          <w:tab w:val="left" w:pos="1440"/>
        </w:tabs>
        <w:jc w:val="both"/>
      </w:pPr>
      <w:r w:rsidRPr="00C42273">
        <w:rPr>
          <w:i/>
        </w:rPr>
        <w:t>M</w:t>
      </w:r>
      <w:r>
        <w:rPr>
          <w:i/>
        </w:rPr>
        <w:t>o</w:t>
      </w:r>
      <w:r w:rsidRPr="00C42273">
        <w:rPr>
          <w:i/>
        </w:rPr>
        <w:t>F</w:t>
      </w:r>
      <w:r>
        <w:t>:</w:t>
      </w:r>
      <w:r>
        <w:tab/>
        <w:t>Ministry of Finance of the Republic of Moldova.</w:t>
      </w:r>
    </w:p>
    <w:p w:rsidR="004E346F" w:rsidRDefault="004E346F" w:rsidP="00265ACB">
      <w:pPr>
        <w:sectPr w:rsidR="004E346F" w:rsidSect="00026BBE">
          <w:pgSz w:w="12240" w:h="15840"/>
          <w:pgMar w:top="1440" w:right="1440" w:bottom="1440" w:left="1440" w:header="708" w:footer="708" w:gutter="0"/>
          <w:cols w:space="708"/>
          <w:docGrid w:linePitch="360"/>
        </w:sectPr>
      </w:pPr>
    </w:p>
    <w:p w:rsidR="00BA51CD" w:rsidRPr="004E346F" w:rsidRDefault="00BA51CD" w:rsidP="00BA51CD">
      <w:pPr>
        <w:pStyle w:val="Heading1"/>
        <w:pBdr>
          <w:bottom w:val="single" w:sz="6" w:space="1" w:color="auto"/>
        </w:pBdr>
        <w:jc w:val="center"/>
        <w:rPr>
          <w:rFonts w:ascii="Times New Roman" w:hAnsi="Times New Roman" w:cs="Times New Roman"/>
          <w:color w:val="auto"/>
          <w:sz w:val="32"/>
          <w:szCs w:val="24"/>
        </w:rPr>
      </w:pPr>
      <w:bookmarkStart w:id="7" w:name="_Toc525924317"/>
      <w:r w:rsidRPr="004E346F">
        <w:rPr>
          <w:rFonts w:ascii="Times New Roman" w:hAnsi="Times New Roman" w:cs="Times New Roman"/>
          <w:color w:val="auto"/>
          <w:sz w:val="32"/>
          <w:szCs w:val="24"/>
        </w:rPr>
        <w:lastRenderedPageBreak/>
        <w:t>V</w:t>
      </w:r>
      <w:r w:rsidR="00482933">
        <w:rPr>
          <w:rFonts w:ascii="Times New Roman" w:hAnsi="Times New Roman" w:cs="Times New Roman"/>
          <w:color w:val="auto"/>
          <w:sz w:val="32"/>
          <w:szCs w:val="24"/>
        </w:rPr>
        <w:t>I. Budget Classification Bridge Tables</w:t>
      </w:r>
      <w:bookmarkEnd w:id="7"/>
      <w:r w:rsidR="00482933">
        <w:rPr>
          <w:rFonts w:ascii="Times New Roman" w:hAnsi="Times New Roman" w:cs="Times New Roman"/>
          <w:color w:val="auto"/>
          <w:sz w:val="32"/>
          <w:szCs w:val="24"/>
        </w:rPr>
        <w:t xml:space="preserve"> </w:t>
      </w:r>
    </w:p>
    <w:p w:rsidR="00BA51CD" w:rsidRDefault="00BA51CD">
      <w:pPr>
        <w:jc w:val="both"/>
        <w:rPr>
          <w:rFonts w:eastAsiaTheme="majorEastAsia"/>
          <w:b/>
          <w:bCs/>
          <w:sz w:val="32"/>
        </w:rPr>
      </w:pPr>
    </w:p>
    <w:p w:rsidR="002B0C0A" w:rsidRPr="002B0C0A" w:rsidRDefault="002B0C0A">
      <w:pPr>
        <w:jc w:val="both"/>
        <w:rPr>
          <w:rFonts w:eastAsiaTheme="majorEastAsia"/>
          <w:bCs/>
        </w:rPr>
      </w:pPr>
      <w:r>
        <w:rPr>
          <w:rFonts w:eastAsiaTheme="majorEastAsia"/>
          <w:bCs/>
        </w:rPr>
        <w:t>Bridge</w:t>
      </w:r>
      <w:r w:rsidRPr="002B0C0A">
        <w:rPr>
          <w:rFonts w:eastAsiaTheme="majorEastAsia"/>
          <w:bCs/>
        </w:rPr>
        <w:t xml:space="preserve"> Table 1.1</w:t>
      </w:r>
      <w:r>
        <w:rPr>
          <w:rFonts w:eastAsiaTheme="majorEastAsia"/>
          <w:bCs/>
        </w:rPr>
        <w:t>.</w:t>
      </w:r>
      <w:r w:rsidR="00145CDA">
        <w:rPr>
          <w:rFonts w:eastAsiaTheme="majorEastAsia"/>
          <w:bCs/>
        </w:rPr>
        <w:t xml:space="preserve"> The bellow bridge table captures the one-to-one relationationship between the old and new functional budget classification</w:t>
      </w:r>
      <w:r w:rsidR="00466023">
        <w:rPr>
          <w:rFonts w:eastAsiaTheme="majorEastAsia"/>
          <w:bCs/>
        </w:rPr>
        <w:t>s</w:t>
      </w:r>
      <w:r w:rsidR="00145CDA">
        <w:rPr>
          <w:rFonts w:eastAsiaTheme="majorEastAsia"/>
          <w:bCs/>
        </w:rPr>
        <w:t xml:space="preserve"> at the central government level. Each row in the table is unique, representing the lowest level in the new functional clasisifcation (“func3) and its equivalent in the old budget classification. </w:t>
      </w:r>
      <w:r w:rsidR="00F44C4D">
        <w:rPr>
          <w:rFonts w:eastAsiaTheme="majorEastAsia"/>
          <w:bCs/>
        </w:rPr>
        <w:t xml:space="preserve">In </w:t>
      </w:r>
      <w:r w:rsidR="00904E3A">
        <w:rPr>
          <w:rFonts w:eastAsiaTheme="majorEastAsia"/>
          <w:bCs/>
        </w:rPr>
        <w:t>addition to the functional identifies</w:t>
      </w:r>
      <w:r w:rsidR="00F44C4D">
        <w:rPr>
          <w:rFonts w:eastAsiaTheme="majorEastAsia"/>
          <w:bCs/>
        </w:rPr>
        <w:t>, the</w:t>
      </w:r>
      <w:r w:rsidR="00904E3A">
        <w:rPr>
          <w:rFonts w:eastAsiaTheme="majorEastAsia"/>
          <w:bCs/>
        </w:rPr>
        <w:t xml:space="preserve"> one-to-one relationship includes budget </w:t>
      </w:r>
      <w:r w:rsidR="00F44C4D">
        <w:rPr>
          <w:rFonts w:eastAsiaTheme="majorEastAsia"/>
          <w:bCs/>
        </w:rPr>
        <w:t xml:space="preserve">codes for line-ministries and </w:t>
      </w:r>
      <w:r w:rsidR="00904E3A">
        <w:rPr>
          <w:rFonts w:eastAsiaTheme="majorEastAsia"/>
          <w:bCs/>
        </w:rPr>
        <w:t xml:space="preserve">budget institution type (old budget classification). </w:t>
      </w:r>
    </w:p>
    <w:p w:rsidR="002B0C0A" w:rsidRDefault="002B0C0A">
      <w:pPr>
        <w:jc w:val="both"/>
        <w:rPr>
          <w:rFonts w:eastAsiaTheme="majorEastAsia"/>
          <w:b/>
          <w:bCs/>
          <w:sz w:val="32"/>
        </w:rPr>
      </w:pPr>
    </w:p>
    <w:p w:rsidR="002B0C0A" w:rsidRDefault="002B0C0A">
      <w:pPr>
        <w:jc w:val="both"/>
        <w:rPr>
          <w:sz w:val="32"/>
        </w:rPr>
      </w:pPr>
      <w:r>
        <w:rPr>
          <w:noProof/>
        </w:rPr>
        <w:drawing>
          <wp:inline distT="0" distB="0" distL="0" distR="0" wp14:anchorId="0CD16EC4" wp14:editId="59931797">
            <wp:extent cx="5942707" cy="2002536"/>
            <wp:effectExtent l="19050" t="19050" r="2032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789" cy="2012336"/>
                    </a:xfrm>
                    <a:prstGeom prst="rect">
                      <a:avLst/>
                    </a:prstGeom>
                    <a:ln>
                      <a:solidFill>
                        <a:schemeClr val="tx1"/>
                      </a:solidFill>
                    </a:ln>
                  </pic:spPr>
                </pic:pic>
              </a:graphicData>
            </a:graphic>
          </wp:inline>
        </w:drawing>
      </w:r>
    </w:p>
    <w:p w:rsidR="002B0C0A" w:rsidRDefault="002B0C0A">
      <w:pPr>
        <w:jc w:val="both"/>
        <w:rPr>
          <w:sz w:val="32"/>
        </w:rPr>
      </w:pPr>
    </w:p>
    <w:p w:rsidR="00495BB3" w:rsidRPr="002B0C0A" w:rsidRDefault="002B0C0A" w:rsidP="002B0C0A">
      <w:pPr>
        <w:jc w:val="both"/>
        <w:rPr>
          <w:rFonts w:eastAsiaTheme="majorEastAsia"/>
          <w:bCs/>
        </w:rPr>
      </w:pPr>
      <w:r>
        <w:rPr>
          <w:rFonts w:eastAsiaTheme="majorEastAsia"/>
          <w:bCs/>
        </w:rPr>
        <w:t>Bridge Table 1.2.</w:t>
      </w:r>
      <w:r w:rsidRPr="002B0C0A">
        <w:rPr>
          <w:rFonts w:eastAsiaTheme="majorEastAsia"/>
          <w:bCs/>
        </w:rPr>
        <w:t xml:space="preserve"> </w:t>
      </w:r>
      <w:r w:rsidR="00145CDA" w:rsidRPr="00145CDA">
        <w:rPr>
          <w:rFonts w:eastAsiaTheme="majorEastAsia"/>
          <w:bCs/>
        </w:rPr>
        <w:t>The bellow bridge table captures the one-to-one relationationship between the old and new functional budget classification</w:t>
      </w:r>
      <w:r w:rsidR="00466023">
        <w:rPr>
          <w:rFonts w:eastAsiaTheme="majorEastAsia"/>
          <w:bCs/>
        </w:rPr>
        <w:t>s</w:t>
      </w:r>
      <w:r w:rsidR="00145CDA" w:rsidRPr="00145CDA">
        <w:rPr>
          <w:rFonts w:eastAsiaTheme="majorEastAsia"/>
          <w:bCs/>
        </w:rPr>
        <w:t xml:space="preserve"> at the </w:t>
      </w:r>
      <w:r w:rsidR="00145CDA">
        <w:rPr>
          <w:rFonts w:eastAsiaTheme="majorEastAsia"/>
          <w:bCs/>
        </w:rPr>
        <w:t>local government level</w:t>
      </w:r>
      <w:r w:rsidR="00145CDA" w:rsidRPr="00145CDA">
        <w:rPr>
          <w:rFonts w:eastAsiaTheme="majorEastAsia"/>
          <w:bCs/>
        </w:rPr>
        <w:t>.</w:t>
      </w:r>
      <w:r w:rsidR="00495BB3">
        <w:rPr>
          <w:rFonts w:eastAsiaTheme="majorEastAsia"/>
          <w:bCs/>
        </w:rPr>
        <w:t xml:space="preserve"> Each row in the table is unique, identifying an element from the new budget classification (“func3”) and a corresponding entry from the old budget classification, which in addition to functional codes includes identifiers for budget institution type. </w:t>
      </w:r>
    </w:p>
    <w:p w:rsidR="00482933" w:rsidRDefault="00482933">
      <w:pPr>
        <w:jc w:val="both"/>
        <w:rPr>
          <w:rFonts w:eastAsiaTheme="majorEastAsia"/>
          <w:b/>
          <w:bCs/>
          <w:sz w:val="32"/>
        </w:rPr>
      </w:pPr>
    </w:p>
    <w:p w:rsidR="007126FE" w:rsidRDefault="006054FC">
      <w:pPr>
        <w:jc w:val="both"/>
        <w:rPr>
          <w:sz w:val="32"/>
        </w:rPr>
      </w:pPr>
      <w:bookmarkStart w:id="8" w:name="_Toc525924318"/>
      <w:r>
        <w:rPr>
          <w:noProof/>
        </w:rPr>
        <w:drawing>
          <wp:inline distT="0" distB="0" distL="0" distR="0" wp14:anchorId="3252079E" wp14:editId="3104A6B2">
            <wp:extent cx="5940494" cy="2212848"/>
            <wp:effectExtent l="19050" t="19050" r="222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7807" cy="2226747"/>
                    </a:xfrm>
                    <a:prstGeom prst="rect">
                      <a:avLst/>
                    </a:prstGeom>
                    <a:ln>
                      <a:solidFill>
                        <a:schemeClr val="tx1"/>
                      </a:solidFill>
                    </a:ln>
                  </pic:spPr>
                </pic:pic>
              </a:graphicData>
            </a:graphic>
          </wp:inline>
        </w:drawing>
      </w:r>
    </w:p>
    <w:p w:rsidR="00145CDA" w:rsidRDefault="00145CDA" w:rsidP="007126FE">
      <w:pPr>
        <w:jc w:val="both"/>
        <w:rPr>
          <w:rFonts w:eastAsiaTheme="majorEastAsia"/>
          <w:bCs/>
        </w:rPr>
      </w:pPr>
    </w:p>
    <w:p w:rsidR="00145CDA" w:rsidRDefault="00145CDA" w:rsidP="007126FE">
      <w:pPr>
        <w:jc w:val="both"/>
        <w:rPr>
          <w:rFonts w:eastAsiaTheme="majorEastAsia"/>
          <w:bCs/>
        </w:rPr>
      </w:pPr>
    </w:p>
    <w:p w:rsidR="00495BB3" w:rsidRDefault="00495BB3" w:rsidP="007126FE">
      <w:pPr>
        <w:jc w:val="both"/>
        <w:rPr>
          <w:rFonts w:eastAsiaTheme="majorEastAsia"/>
          <w:bCs/>
        </w:rPr>
      </w:pPr>
    </w:p>
    <w:p w:rsidR="007126FE" w:rsidRPr="002B0C0A" w:rsidRDefault="007126FE" w:rsidP="007126FE">
      <w:pPr>
        <w:jc w:val="both"/>
        <w:rPr>
          <w:rFonts w:eastAsiaTheme="majorEastAsia"/>
          <w:bCs/>
        </w:rPr>
      </w:pPr>
      <w:r>
        <w:rPr>
          <w:rFonts w:eastAsiaTheme="majorEastAsia"/>
          <w:bCs/>
        </w:rPr>
        <w:t>Bridge Table 2.1.</w:t>
      </w:r>
      <w:r w:rsidRPr="002B0C0A">
        <w:rPr>
          <w:rFonts w:eastAsiaTheme="majorEastAsia"/>
          <w:bCs/>
        </w:rPr>
        <w:t xml:space="preserve"> The bellow bri</w:t>
      </w:r>
      <w:r w:rsidR="00E127A8">
        <w:rPr>
          <w:rFonts w:eastAsiaTheme="majorEastAsia"/>
          <w:bCs/>
        </w:rPr>
        <w:t xml:space="preserve">dge table captures the one-to-one relationship between the old and new economic budget classifications. Each row in the table is unique, representing the lowest level in the new economic classification (“econ6”) and its closets equivalent in the old economic budget classification. </w:t>
      </w:r>
      <w:r w:rsidR="00466023">
        <w:rPr>
          <w:rFonts w:eastAsiaTheme="majorEastAsia"/>
          <w:bCs/>
        </w:rPr>
        <w:t xml:space="preserve"> </w:t>
      </w:r>
    </w:p>
    <w:p w:rsidR="00467A78" w:rsidRDefault="00467A78">
      <w:pPr>
        <w:jc w:val="both"/>
        <w:rPr>
          <w:sz w:val="32"/>
        </w:rPr>
      </w:pPr>
    </w:p>
    <w:p w:rsidR="004D3571" w:rsidRDefault="00467A78">
      <w:pPr>
        <w:jc w:val="both"/>
        <w:rPr>
          <w:sz w:val="32"/>
        </w:rPr>
      </w:pPr>
      <w:r>
        <w:rPr>
          <w:noProof/>
        </w:rPr>
        <w:drawing>
          <wp:inline distT="0" distB="0" distL="0" distR="0" wp14:anchorId="2EA21759" wp14:editId="51C401A3">
            <wp:extent cx="6026557" cy="2208530"/>
            <wp:effectExtent l="19050" t="19050" r="1270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4553" cy="2222454"/>
                    </a:xfrm>
                    <a:prstGeom prst="rect">
                      <a:avLst/>
                    </a:prstGeom>
                    <a:ln>
                      <a:solidFill>
                        <a:schemeClr val="tx1"/>
                      </a:solidFill>
                    </a:ln>
                  </pic:spPr>
                </pic:pic>
              </a:graphicData>
            </a:graphic>
          </wp:inline>
        </w:drawing>
      </w:r>
    </w:p>
    <w:p w:rsidR="004D3571" w:rsidRDefault="004D3571">
      <w:pPr>
        <w:jc w:val="both"/>
        <w:rPr>
          <w:sz w:val="32"/>
        </w:rPr>
      </w:pPr>
    </w:p>
    <w:p w:rsidR="002B0C0A" w:rsidRPr="004D3571" w:rsidRDefault="004D3571">
      <w:pPr>
        <w:jc w:val="both"/>
        <w:rPr>
          <w:rFonts w:eastAsiaTheme="majorEastAsia"/>
          <w:bCs/>
        </w:rPr>
      </w:pPr>
      <w:r w:rsidRPr="004D3571">
        <w:rPr>
          <w:rFonts w:eastAsiaTheme="majorEastAsia"/>
          <w:bCs/>
        </w:rPr>
        <w:t>When analyzing the harmonized historical BOOST data, the users should be mindul of certain data li</w:t>
      </w:r>
      <w:r w:rsidR="00517634">
        <w:rPr>
          <w:rFonts w:eastAsiaTheme="majorEastAsia"/>
          <w:bCs/>
        </w:rPr>
        <w:t>mitations</w:t>
      </w:r>
      <w:r w:rsidR="005C3B75">
        <w:rPr>
          <w:rFonts w:eastAsiaTheme="majorEastAsia"/>
          <w:bCs/>
        </w:rPr>
        <w:t xml:space="preserve">. Although, the harmonization exercise was generally successful, some economic and functional budget items could be mapped one-to-one. There are several reasons for this: (i) </w:t>
      </w:r>
      <w:r w:rsidR="00120F1E">
        <w:rPr>
          <w:rFonts w:eastAsiaTheme="majorEastAsia"/>
          <w:bCs/>
        </w:rPr>
        <w:t>aggregated</w:t>
      </w:r>
      <w:r w:rsidR="005C3B75">
        <w:rPr>
          <w:rFonts w:eastAsiaTheme="majorEastAsia"/>
          <w:bCs/>
        </w:rPr>
        <w:t xml:space="preserve"> old economic (2 levels) and functional (2 levels) budget classifications; (ii) migration of some recurrent items under GFS’86 to capital expenditures under GFS’2001; (iii) </w:t>
      </w:r>
      <w:r w:rsidR="00120F1E">
        <w:rPr>
          <w:rFonts w:eastAsiaTheme="majorEastAsia"/>
          <w:bCs/>
        </w:rPr>
        <w:t xml:space="preserve">the inabiality to understand the nature of some economic transactions in the old budget classification (e.g. major donor funded projects recorded under one line), among others. Taken into account all these limitations, the users are advised to always consult the historical </w:t>
      </w:r>
      <w:bookmarkStart w:id="9" w:name="_GoBack"/>
      <w:bookmarkEnd w:id="9"/>
      <w:r w:rsidR="00120F1E">
        <w:rPr>
          <w:rFonts w:eastAsiaTheme="majorEastAsia"/>
          <w:bCs/>
        </w:rPr>
        <w:t xml:space="preserve">data while analyzing the harmonized BOOST accounts. </w:t>
      </w:r>
      <w:r w:rsidR="002B0C0A" w:rsidRPr="004D3571">
        <w:rPr>
          <w:rFonts w:eastAsiaTheme="majorEastAsia"/>
          <w:bCs/>
        </w:rPr>
        <w:br w:type="page"/>
      </w:r>
    </w:p>
    <w:p w:rsidR="00265ACB" w:rsidRPr="004E346F" w:rsidRDefault="00265ACB" w:rsidP="00265ACB">
      <w:pPr>
        <w:pStyle w:val="Heading1"/>
        <w:pBdr>
          <w:bottom w:val="single" w:sz="6" w:space="1" w:color="auto"/>
        </w:pBdr>
        <w:jc w:val="center"/>
        <w:rPr>
          <w:rFonts w:ascii="Times New Roman" w:hAnsi="Times New Roman" w:cs="Times New Roman"/>
          <w:color w:val="auto"/>
          <w:sz w:val="32"/>
          <w:szCs w:val="24"/>
        </w:rPr>
      </w:pPr>
      <w:r w:rsidRPr="004E346F">
        <w:rPr>
          <w:rFonts w:ascii="Times New Roman" w:hAnsi="Times New Roman" w:cs="Times New Roman"/>
          <w:color w:val="auto"/>
          <w:sz w:val="32"/>
          <w:szCs w:val="24"/>
        </w:rPr>
        <w:lastRenderedPageBreak/>
        <w:t>Appendix. Budget Classification</w:t>
      </w:r>
      <w:r w:rsidR="00733362" w:rsidRPr="004E346F">
        <w:rPr>
          <w:rFonts w:ascii="Times New Roman" w:hAnsi="Times New Roman" w:cs="Times New Roman"/>
          <w:color w:val="auto"/>
          <w:sz w:val="32"/>
          <w:szCs w:val="24"/>
        </w:rPr>
        <w:t xml:space="preserve"> Codes</w:t>
      </w:r>
      <w:bookmarkEnd w:id="8"/>
    </w:p>
    <w:p w:rsidR="00265ACB" w:rsidRDefault="00265ACB" w:rsidP="00C6310B">
      <w:pPr>
        <w:jc w:val="both"/>
      </w:pPr>
    </w:p>
    <w:p w:rsidR="00C6310B" w:rsidRPr="004E346F" w:rsidRDefault="004E346F" w:rsidP="004E346F">
      <w:r>
        <w:t>This appendix contains codes and description</w:t>
      </w:r>
      <w:r w:rsidR="00F05E59">
        <w:t xml:space="preserve">s for the </w:t>
      </w:r>
      <w:r>
        <w:t>variables in the Moldova BOOST</w:t>
      </w:r>
      <w:r w:rsidR="00D93907">
        <w:t xml:space="preserve"> database</w:t>
      </w:r>
      <w:r>
        <w:t xml:space="preserve">, except </w:t>
      </w:r>
      <w:r w:rsidR="00F31051">
        <w:rPr>
          <w:b/>
        </w:rPr>
        <w:t xml:space="preserve">admin3, admin4, admin5, </w:t>
      </w:r>
      <w:r w:rsidR="00F31051" w:rsidRPr="00F31051">
        <w:t>and</w:t>
      </w:r>
      <w:r w:rsidR="00F31051">
        <w:rPr>
          <w:b/>
        </w:rPr>
        <w:t xml:space="preserve"> </w:t>
      </w:r>
      <w:r w:rsidR="00454182">
        <w:rPr>
          <w:b/>
        </w:rPr>
        <w:t xml:space="preserve">admin6 </w:t>
      </w:r>
      <w:r w:rsidR="00454182" w:rsidRPr="00454182">
        <w:t>(from the old budget classification),</w:t>
      </w:r>
      <w:r w:rsidR="00454182">
        <w:rPr>
          <w:b/>
        </w:rPr>
        <w:t xml:space="preserve"> </w:t>
      </w:r>
      <w:r>
        <w:t>which have been omi</w:t>
      </w:r>
      <w:r w:rsidR="00454182">
        <w:t>tted in the interest of brevity.</w:t>
      </w:r>
      <w:r w:rsidR="00F05E59">
        <w:t xml:space="preserve"> In addition, the appendix does not include any reference to the </w:t>
      </w:r>
      <w:r w:rsidR="00F05E59" w:rsidRPr="00F05E59">
        <w:rPr>
          <w:b/>
        </w:rPr>
        <w:t>program</w:t>
      </w:r>
      <w:r w:rsidR="00F05E59">
        <w:t xml:space="preserve">, </w:t>
      </w:r>
      <w:r w:rsidR="00F05E59" w:rsidRPr="00F05E59">
        <w:rPr>
          <w:b/>
        </w:rPr>
        <w:t>sub-program</w:t>
      </w:r>
      <w:r w:rsidR="00F05E59">
        <w:t xml:space="preserve">, </w:t>
      </w:r>
      <w:r w:rsidR="00F05E59" w:rsidRPr="00F05E59">
        <w:rPr>
          <w:b/>
        </w:rPr>
        <w:t>activity</w:t>
      </w:r>
      <w:r w:rsidR="00F05E59">
        <w:t xml:space="preserve"> and project </w:t>
      </w:r>
      <w:r w:rsidR="00F05E59" w:rsidRPr="00F05E59">
        <w:rPr>
          <w:b/>
        </w:rPr>
        <w:t>variables</w:t>
      </w:r>
      <w:r w:rsidR="00F05E59">
        <w:t xml:space="preserve">. </w:t>
      </w:r>
    </w:p>
    <w:p w:rsidR="00733362" w:rsidRDefault="00733362" w:rsidP="004E346F"/>
    <w:tbl>
      <w:tblPr>
        <w:tblW w:w="82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6983"/>
      </w:tblGrid>
      <w:tr w:rsidR="00110AE9" w:rsidRPr="009C6550" w:rsidTr="001D2CE3">
        <w:trPr>
          <w:trHeight w:val="272"/>
        </w:trPr>
        <w:tc>
          <w:tcPr>
            <w:tcW w:w="1295" w:type="dxa"/>
            <w:shd w:val="clear" w:color="auto" w:fill="BFBFBF" w:themeFill="background1" w:themeFillShade="BF"/>
            <w:hideMark/>
          </w:tcPr>
          <w:p w:rsidR="00110AE9" w:rsidRPr="009C6550" w:rsidRDefault="00110AE9" w:rsidP="004E346F">
            <w:pPr>
              <w:rPr>
                <w:rFonts w:eastAsia="Times New Roman"/>
                <w:b/>
                <w:bCs/>
                <w:color w:val="000000"/>
                <w:sz w:val="20"/>
                <w:szCs w:val="20"/>
              </w:rPr>
            </w:pPr>
            <w:r w:rsidRPr="009C6550">
              <w:rPr>
                <w:rFonts w:eastAsia="Times New Roman"/>
                <w:b/>
                <w:bCs/>
                <w:color w:val="000000"/>
                <w:sz w:val="20"/>
                <w:szCs w:val="20"/>
              </w:rPr>
              <w:t>admin1</w:t>
            </w:r>
          </w:p>
        </w:tc>
        <w:tc>
          <w:tcPr>
            <w:tcW w:w="6983" w:type="dxa"/>
            <w:shd w:val="clear" w:color="auto" w:fill="BFBFBF" w:themeFill="background1" w:themeFillShade="BF"/>
            <w:hideMark/>
          </w:tcPr>
          <w:p w:rsidR="00110AE9" w:rsidRPr="009C6550" w:rsidRDefault="00110AE9" w:rsidP="004E346F">
            <w:pPr>
              <w:rPr>
                <w:rFonts w:eastAsia="Times New Roman"/>
                <w:b/>
                <w:bCs/>
                <w:color w:val="000000"/>
                <w:sz w:val="20"/>
                <w:szCs w:val="20"/>
              </w:rPr>
            </w:pPr>
            <w:r w:rsidRPr="009C6550">
              <w:rPr>
                <w:rFonts w:eastAsia="Times New Roman"/>
                <w:b/>
                <w:bCs/>
                <w:color w:val="000000"/>
                <w:sz w:val="20"/>
                <w:szCs w:val="20"/>
              </w:rPr>
              <w:t>admin1_md</w:t>
            </w:r>
          </w:p>
        </w:tc>
      </w:tr>
      <w:tr w:rsidR="00110AE9" w:rsidRPr="009C6550" w:rsidTr="001D2CE3">
        <w:trPr>
          <w:trHeight w:val="272"/>
        </w:trPr>
        <w:tc>
          <w:tcPr>
            <w:tcW w:w="1295"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1</w:t>
            </w:r>
          </w:p>
        </w:tc>
        <w:tc>
          <w:tcPr>
            <w:tcW w:w="6983"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Centrale</w:t>
            </w:r>
          </w:p>
        </w:tc>
      </w:tr>
      <w:tr w:rsidR="00110AE9" w:rsidRPr="009C6550" w:rsidTr="001D2CE3">
        <w:trPr>
          <w:trHeight w:val="272"/>
        </w:trPr>
        <w:tc>
          <w:tcPr>
            <w:tcW w:w="1295"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2</w:t>
            </w:r>
          </w:p>
        </w:tc>
        <w:tc>
          <w:tcPr>
            <w:tcW w:w="6983"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Locale</w:t>
            </w:r>
          </w:p>
        </w:tc>
      </w:tr>
      <w:tr w:rsidR="00110AE9" w:rsidRPr="009C6550" w:rsidTr="001D2CE3">
        <w:trPr>
          <w:trHeight w:val="272"/>
        </w:trPr>
        <w:tc>
          <w:tcPr>
            <w:tcW w:w="1295"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3</w:t>
            </w:r>
          </w:p>
        </w:tc>
        <w:tc>
          <w:tcPr>
            <w:tcW w:w="6983" w:type="dxa"/>
            <w:shd w:val="clear" w:color="auto" w:fill="auto"/>
            <w:hideMark/>
          </w:tcPr>
          <w:p w:rsidR="00110AE9" w:rsidRPr="009C6550" w:rsidRDefault="00110AE9" w:rsidP="004E346F">
            <w:pPr>
              <w:rPr>
                <w:rFonts w:eastAsia="Times New Roman"/>
                <w:color w:val="000000"/>
                <w:sz w:val="20"/>
                <w:szCs w:val="20"/>
              </w:rPr>
            </w:pPr>
            <w:r w:rsidRPr="009C6550">
              <w:rPr>
                <w:rFonts w:eastAsia="Times New Roman"/>
                <w:color w:val="000000"/>
                <w:sz w:val="20"/>
                <w:szCs w:val="20"/>
              </w:rPr>
              <w:t>Alte</w:t>
            </w:r>
          </w:p>
        </w:tc>
      </w:tr>
    </w:tbl>
    <w:p w:rsidR="004E346F" w:rsidRDefault="004E346F" w:rsidP="004E346F"/>
    <w:tbl>
      <w:tblPr>
        <w:tblW w:w="82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6984"/>
      </w:tblGrid>
      <w:tr w:rsidR="00BD2458" w:rsidRPr="009C6550" w:rsidTr="001D2CE3">
        <w:trPr>
          <w:trHeight w:val="195"/>
        </w:trPr>
        <w:tc>
          <w:tcPr>
            <w:tcW w:w="1294" w:type="dxa"/>
            <w:shd w:val="clear" w:color="auto" w:fill="BFBFBF" w:themeFill="background1" w:themeFillShade="BF"/>
            <w:hideMark/>
          </w:tcPr>
          <w:p w:rsidR="00BD2458" w:rsidRPr="009C6550" w:rsidRDefault="00BD2458" w:rsidP="004E346F">
            <w:pPr>
              <w:rPr>
                <w:rFonts w:eastAsia="Times New Roman"/>
                <w:b/>
                <w:bCs/>
                <w:color w:val="000000"/>
                <w:sz w:val="20"/>
                <w:szCs w:val="20"/>
              </w:rPr>
            </w:pPr>
            <w:r w:rsidRPr="009C6550">
              <w:rPr>
                <w:rFonts w:eastAsia="Times New Roman"/>
                <w:b/>
                <w:bCs/>
                <w:color w:val="000000"/>
                <w:sz w:val="20"/>
                <w:szCs w:val="20"/>
              </w:rPr>
              <w:t>admin2</w:t>
            </w:r>
          </w:p>
        </w:tc>
        <w:tc>
          <w:tcPr>
            <w:tcW w:w="6984" w:type="dxa"/>
            <w:shd w:val="clear" w:color="auto" w:fill="BFBFBF" w:themeFill="background1" w:themeFillShade="BF"/>
            <w:hideMark/>
          </w:tcPr>
          <w:p w:rsidR="00BD2458" w:rsidRPr="009C6550" w:rsidRDefault="00BD2458" w:rsidP="004E346F">
            <w:pPr>
              <w:rPr>
                <w:rFonts w:eastAsia="Times New Roman"/>
                <w:b/>
                <w:bCs/>
                <w:color w:val="000000"/>
                <w:sz w:val="20"/>
                <w:szCs w:val="20"/>
              </w:rPr>
            </w:pPr>
            <w:r w:rsidRPr="009C6550">
              <w:rPr>
                <w:rFonts w:eastAsia="Times New Roman"/>
                <w:b/>
                <w:bCs/>
                <w:color w:val="000000"/>
                <w:sz w:val="20"/>
                <w:szCs w:val="20"/>
              </w:rPr>
              <w:t>admin2_md</w:t>
            </w:r>
          </w:p>
        </w:tc>
      </w:tr>
      <w:tr w:rsidR="00BD2458" w:rsidRPr="009C6550" w:rsidTr="001D2CE3">
        <w:trPr>
          <w:trHeight w:val="195"/>
        </w:trPr>
        <w:tc>
          <w:tcPr>
            <w:tcW w:w="1294" w:type="dxa"/>
            <w:shd w:val="clear" w:color="auto" w:fill="auto"/>
            <w:vAlign w:val="bottom"/>
            <w:hideMark/>
          </w:tcPr>
          <w:p w:rsidR="00BD2458" w:rsidRDefault="00BD2458" w:rsidP="00BD2458">
            <w:pPr>
              <w:rPr>
                <w:rFonts w:eastAsia="Times New Roman"/>
                <w:color w:val="000000"/>
                <w:sz w:val="20"/>
                <w:szCs w:val="20"/>
              </w:rPr>
            </w:pPr>
            <w:r>
              <w:rPr>
                <w:color w:val="000000"/>
                <w:sz w:val="20"/>
                <w:szCs w:val="20"/>
              </w:rPr>
              <w:t>0271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Casa Nationala de Asigurari Sociale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Compania Nationala Asigurari in Medicina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0101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Secretariatul Parlamentului RM</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0102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Aparatul Presedintelui Republicii Moldova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0103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Curtea Constitutionala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0104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Curtea de Conturi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Cancelaria de Stat</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Economiei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Finantelor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Justitiei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Afacerilor Interne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0206</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Afacerilor Externe si Integrarii Europene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0207</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Apararii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0208</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Dezvoltarii Regionale si Constructiilor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0209</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Agriculturii si Industriei Alimentare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0210</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Transporturilor si Infrasctructurii Drumurilor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Mediului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Educatiei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Culturii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Muncii, Protectiei Sociale si Familiei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Sanatatii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0216</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Tineretului si Sportului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0217</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Tehnologiei Informatiei si Comunicatiilor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0218</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Economiei si Infrastructurii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0219</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Agriculturii, Dezvoltarii Regionale si Mediului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0220</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Educatiei, Culturii si Cercetarii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0221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Ministerul Sanatatii, Muncii si Protectiei Sociale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Biroul National de Statistica al Republicii Moldova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Relatii Funciare si Cadastru</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Biroul Relatii Interetnice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Moldsilva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Rezerve Materiale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0246</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Turismului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0247</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Centrul National Anticoruptie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Serviciul de Stat de Arhiva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Consiliul National pentru Acreditare si Atestare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Nationala pentru Siguranta Alimentelor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lastRenderedPageBreak/>
              <w:t>0276</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Nationala de Asigurare a Calitatii in Invatamintul Profesional</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0277</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Nationala Antidoping</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0278</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Biroul de Curieri Speciali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0279</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Centrul Serviciului Civil</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0301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Consiliul Superior al Magistraturii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0303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Procuratura Generala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Oficiul Avocatului Poporului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Comisia Electorala Centrala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Centrul National pentru Protectia Datelor cu Caracter Personal</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Consiliul Coordonator al Audiovizualului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Consiliul Concurentei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0406</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Serviciul de Informatii si Securitate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0407</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Autoritatea Nationala de Integritate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0408</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Serviciul de Protectie si Paza de Stat</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0409</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Consiliul pentru Prevenirea si Eliminarea Discriminarii si Asigurarii Egalitatii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0410</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Agentia Nationala pentru Solutionarea Contestatiilor</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0501</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Academia de Stiinte a Moldovei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0502</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Institutul National al Justitiei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0503</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Institutia Publica Nationala a Audiovizualului Compania Teleradio-Moldova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0504</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Fondul de Investitii Sociale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0505</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Fondul de Dezvoltare Durabila Moldova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0799</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Actiuni generale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 xml:space="preserve">108 </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urtea Suprema de Justitie</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 xml:space="preserve">257 </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entrul pentru Drepturile Omului</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 xml:space="preserve">456 </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ntreprinderea Mixta Farmaco S.A.</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 xml:space="preserve">457 </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ocietatea pe Actiuni San Farm-Prim</w:t>
            </w:r>
          </w:p>
        </w:tc>
      </w:tr>
      <w:tr w:rsidR="00BD2458" w:rsidRPr="009C6550" w:rsidTr="001D2CE3">
        <w:trPr>
          <w:trHeight w:val="195"/>
        </w:trPr>
        <w:tc>
          <w:tcPr>
            <w:tcW w:w="1294" w:type="dxa"/>
            <w:shd w:val="clear" w:color="auto" w:fill="auto"/>
            <w:vAlign w:val="bottom"/>
            <w:hideMark/>
          </w:tcPr>
          <w:p w:rsidR="00BD2458" w:rsidRDefault="00BD2458" w:rsidP="00BD2458">
            <w:pPr>
              <w:rPr>
                <w:color w:val="000000"/>
                <w:sz w:val="20"/>
                <w:szCs w:val="20"/>
              </w:rPr>
            </w:pPr>
            <w:r>
              <w:rPr>
                <w:color w:val="000000"/>
                <w:sz w:val="20"/>
                <w:szCs w:val="20"/>
              </w:rPr>
              <w:t xml:space="preserve">458 </w:t>
            </w:r>
          </w:p>
        </w:tc>
        <w:tc>
          <w:tcPr>
            <w:tcW w:w="6984" w:type="dxa"/>
            <w:shd w:val="clear" w:color="auto" w:fill="auto"/>
            <w:vAlign w:val="bottom"/>
            <w:hideMark/>
          </w:tcPr>
          <w:p w:rsidR="00BD2458" w:rsidRDefault="00BD2458" w:rsidP="00BD2458">
            <w:pPr>
              <w:rPr>
                <w:color w:val="000000"/>
                <w:sz w:val="20"/>
                <w:szCs w:val="20"/>
              </w:rPr>
            </w:pPr>
            <w:r>
              <w:rPr>
                <w:color w:val="000000"/>
                <w:sz w:val="20"/>
                <w:szCs w:val="20"/>
              </w:rPr>
              <w:t>entrul International de Expozitii Moldexpo S.A.</w:t>
            </w:r>
          </w:p>
        </w:tc>
      </w:tr>
      <w:tr w:rsidR="003D3E43" w:rsidRPr="009C6550" w:rsidTr="001D2CE3">
        <w:trPr>
          <w:trHeight w:val="195"/>
        </w:trPr>
        <w:tc>
          <w:tcPr>
            <w:tcW w:w="1294" w:type="dxa"/>
            <w:shd w:val="clear" w:color="auto" w:fill="auto"/>
            <w:vAlign w:val="bottom"/>
            <w:hideMark/>
          </w:tcPr>
          <w:p w:rsidR="003D3E43" w:rsidRDefault="003D3E43" w:rsidP="003D3E43">
            <w:pPr>
              <w:rPr>
                <w:rFonts w:eastAsia="Times New Roman"/>
                <w:color w:val="000000"/>
                <w:sz w:val="20"/>
                <w:szCs w:val="20"/>
              </w:rPr>
            </w:pPr>
            <w:r>
              <w:rPr>
                <w:color w:val="000000"/>
                <w:sz w:val="20"/>
                <w:szCs w:val="20"/>
              </w:rPr>
              <w:t xml:space="preserve">001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municipal Chisinau</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003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municipal Balti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010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Anenii Noi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012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Basabareasca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014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Briceni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017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Cahul</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021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Cantemir</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025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Calarasi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027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Causeni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029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Cimislia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031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Criuleni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034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Donduseni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036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Drochia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038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Dubasari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041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Edinet</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043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Falesti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045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Floresti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048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Glodeni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053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Hincesti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055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Ialoveni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057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Leova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060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Nisporeni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062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Ocnita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064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Orhei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067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Rezina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071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Riscani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lastRenderedPageBreak/>
              <w:t xml:space="preserve">074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Singerei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078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Soroca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080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Straseni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083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Soldanesti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085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Stefan-Voda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087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Taraclia</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089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Telenesti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092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Ungheni</w:t>
            </w:r>
          </w:p>
        </w:tc>
      </w:tr>
      <w:tr w:rsidR="003D3E43" w:rsidRPr="009C6550" w:rsidTr="001D2CE3">
        <w:trPr>
          <w:trHeight w:val="195"/>
        </w:trPr>
        <w:tc>
          <w:tcPr>
            <w:tcW w:w="1294" w:type="dxa"/>
            <w:shd w:val="clear" w:color="auto" w:fill="auto"/>
            <w:vAlign w:val="bottom"/>
            <w:hideMark/>
          </w:tcPr>
          <w:p w:rsidR="003D3E43" w:rsidRDefault="003D3E43" w:rsidP="003D3E43">
            <w:pPr>
              <w:rPr>
                <w:color w:val="000000"/>
                <w:sz w:val="20"/>
                <w:szCs w:val="20"/>
              </w:rPr>
            </w:pPr>
            <w:r>
              <w:rPr>
                <w:color w:val="000000"/>
                <w:sz w:val="20"/>
                <w:szCs w:val="20"/>
              </w:rPr>
              <w:t xml:space="preserve">096 </w:t>
            </w:r>
          </w:p>
        </w:tc>
        <w:tc>
          <w:tcPr>
            <w:tcW w:w="6984" w:type="dxa"/>
            <w:shd w:val="clear" w:color="auto" w:fill="auto"/>
            <w:vAlign w:val="bottom"/>
            <w:hideMark/>
          </w:tcPr>
          <w:p w:rsidR="003D3E43" w:rsidRDefault="003D3E43" w:rsidP="003D3E43">
            <w:pPr>
              <w:rPr>
                <w:color w:val="000000"/>
                <w:sz w:val="20"/>
                <w:szCs w:val="20"/>
              </w:rPr>
            </w:pPr>
            <w:r>
              <w:rPr>
                <w:color w:val="000000"/>
                <w:sz w:val="20"/>
                <w:szCs w:val="20"/>
              </w:rPr>
              <w:t>Consiliul raional ATU Gagauzia</w:t>
            </w:r>
          </w:p>
        </w:tc>
      </w:tr>
    </w:tbl>
    <w:p w:rsidR="00733362" w:rsidRDefault="00733362" w:rsidP="004E346F"/>
    <w:tbl>
      <w:tblPr>
        <w:tblW w:w="82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906"/>
      </w:tblGrid>
      <w:tr w:rsidR="003D3E43" w:rsidRPr="009C6550" w:rsidTr="001D2CE3">
        <w:trPr>
          <w:trHeight w:val="255"/>
        </w:trPr>
        <w:tc>
          <w:tcPr>
            <w:tcW w:w="1372" w:type="dxa"/>
            <w:shd w:val="clear" w:color="auto" w:fill="BFBFBF" w:themeFill="background1" w:themeFillShade="BF"/>
            <w:hideMark/>
          </w:tcPr>
          <w:p w:rsidR="003D3E43" w:rsidRPr="009C6550" w:rsidRDefault="003D3E43" w:rsidP="004E346F">
            <w:pPr>
              <w:rPr>
                <w:rFonts w:eastAsia="Times New Roman"/>
                <w:b/>
                <w:bCs/>
                <w:color w:val="000000"/>
                <w:sz w:val="20"/>
                <w:szCs w:val="20"/>
              </w:rPr>
            </w:pPr>
            <w:r>
              <w:rPr>
                <w:rFonts w:eastAsia="Times New Roman"/>
                <w:b/>
                <w:bCs/>
                <w:color w:val="000000"/>
                <w:sz w:val="20"/>
                <w:szCs w:val="20"/>
              </w:rPr>
              <w:t>admin3</w:t>
            </w:r>
            <w:r w:rsidR="00DF038B">
              <w:rPr>
                <w:rFonts w:eastAsia="Times New Roman"/>
                <w:b/>
                <w:bCs/>
                <w:color w:val="000000"/>
                <w:sz w:val="20"/>
                <w:szCs w:val="20"/>
              </w:rPr>
              <w:t>_inter</w:t>
            </w:r>
          </w:p>
        </w:tc>
        <w:tc>
          <w:tcPr>
            <w:tcW w:w="6906" w:type="dxa"/>
            <w:shd w:val="clear" w:color="auto" w:fill="BFBFBF" w:themeFill="background1" w:themeFillShade="BF"/>
            <w:hideMark/>
          </w:tcPr>
          <w:p w:rsidR="003D3E43" w:rsidRPr="009C6550" w:rsidRDefault="003D3E43" w:rsidP="004E346F">
            <w:pPr>
              <w:rPr>
                <w:rFonts w:eastAsia="Times New Roman"/>
                <w:b/>
                <w:bCs/>
                <w:color w:val="000000"/>
                <w:sz w:val="20"/>
                <w:szCs w:val="20"/>
              </w:rPr>
            </w:pPr>
            <w:r>
              <w:rPr>
                <w:rFonts w:eastAsia="Times New Roman"/>
                <w:b/>
                <w:bCs/>
                <w:color w:val="000000"/>
                <w:sz w:val="20"/>
                <w:szCs w:val="20"/>
              </w:rPr>
              <w:t>admin3</w:t>
            </w:r>
            <w:r w:rsidRPr="009C6550">
              <w:rPr>
                <w:rFonts w:eastAsia="Times New Roman"/>
                <w:b/>
                <w:bCs/>
                <w:color w:val="000000"/>
                <w:sz w:val="20"/>
                <w:szCs w:val="20"/>
              </w:rPr>
              <w:t>_md</w:t>
            </w:r>
          </w:p>
        </w:tc>
      </w:tr>
      <w:tr w:rsidR="001113EB" w:rsidRPr="009C6550" w:rsidTr="001D2CE3">
        <w:trPr>
          <w:trHeight w:val="255"/>
        </w:trPr>
        <w:tc>
          <w:tcPr>
            <w:tcW w:w="1372" w:type="dxa"/>
            <w:shd w:val="clear" w:color="auto" w:fill="auto"/>
            <w:vAlign w:val="bottom"/>
            <w:hideMark/>
          </w:tcPr>
          <w:p w:rsidR="001113EB" w:rsidRDefault="001113EB" w:rsidP="001113EB">
            <w:pPr>
              <w:rPr>
                <w:rFonts w:eastAsia="Times New Roman"/>
                <w:color w:val="000000"/>
                <w:sz w:val="20"/>
                <w:szCs w:val="20"/>
              </w:rPr>
            </w:pPr>
            <w:r>
              <w:rPr>
                <w:color w:val="000000"/>
                <w:sz w:val="20"/>
                <w:szCs w:val="20"/>
              </w:rPr>
              <w:t>0054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Inspectoratul General pentru Situatii de Urgenta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0058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Departamentul Institutiilor Penitenciare</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Baza Speciala de Aprovizionare Medicala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Inspectoratul Fiscal Principal de Stat</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Cultura Balti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Serviciul Vamal</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Inspectoratul General al Politiei de Frontiera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Inspectoratul General al Politiei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Departamentul trupelor de carabineri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0069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Agentia Nationala pentru Ocuparea Fortei de Munca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mun. Balti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Riscani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Glodeni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Falesti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Singerei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2008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Directia de Invatamint, Tineret si Sport </w:t>
            </w:r>
            <w:proofErr w:type="gramStart"/>
            <w:r>
              <w:rPr>
                <w:color w:val="000000"/>
                <w:sz w:val="20"/>
                <w:szCs w:val="20"/>
              </w:rPr>
              <w:t>mun.Balti</w:t>
            </w:r>
            <w:proofErr w:type="gramEnd"/>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2011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generala invatamint Cahul</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2013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Cahul</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2015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educatie Ialoveni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2016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cultura Ialoveni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2018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asistenta sociala si protectia familiei Ialoveni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2023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Directiei educatiei Ungheni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2025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Directiei asistenta sociala si protectia familiei Ungheni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2028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municipala pentru protectia drepturilor copilului Chisinau</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2029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asistenta sociala a Consiliului municipal Chisinau</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educatie, stiinta, tineret si sport a Consiliului municipal Chisinau</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cultura a Consiliului municipal Chisinau</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tineret si sport a sectorului Botanica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tineret si sport a sectorului Riscani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tineret si sport a sectorului Buiucani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tineret si sport a sectorului Ciocana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2039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tineret si sport a sectorului Centru</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2042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Directiea educatie Edinet</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2044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Edinet</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2047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Educatie</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2048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cultura Orhei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2049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Asistenta Sociala si Protectie a Familiei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2052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cultura, tineret, sport si turism Causeni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lastRenderedPageBreak/>
              <w:t>2053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Directia </w:t>
            </w:r>
            <w:r w:rsidR="00DF3156">
              <w:rPr>
                <w:color w:val="000000"/>
                <w:sz w:val="20"/>
                <w:szCs w:val="20"/>
              </w:rPr>
              <w:t xml:space="preserve">Cultura, </w:t>
            </w:r>
            <w:proofErr w:type="gramStart"/>
            <w:r w:rsidR="00DF3156">
              <w:rPr>
                <w:color w:val="000000"/>
                <w:sz w:val="20"/>
                <w:szCs w:val="20"/>
              </w:rPr>
              <w:t>tineret</w:t>
            </w:r>
            <w:r>
              <w:rPr>
                <w:color w:val="000000"/>
                <w:sz w:val="20"/>
                <w:szCs w:val="20"/>
              </w:rPr>
              <w:t>,sport</w:t>
            </w:r>
            <w:proofErr w:type="gramEnd"/>
            <w:r>
              <w:rPr>
                <w:color w:val="000000"/>
                <w:sz w:val="20"/>
                <w:szCs w:val="20"/>
              </w:rPr>
              <w:t xml:space="preserve"> si turisn Causeni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2055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protectie a familiei Causeni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2060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asistenta sociala si protectia familiei Stefan Voda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2061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cultura Taraclia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2062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generala invatamint, tineret si sport Taraclia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2063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Taraclia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2070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generala invatamint Soroca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2071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cultura si turism Soroca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2072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Soroca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2079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invatamint, Tineret si Sport UTA Gagauzia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2086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cultura UTA Gagauzia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2090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cultura Vulcanesti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2101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invatamint Hincesti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2102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cultura si turism Hincesti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2106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Hincesti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2119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asistenta sociala si protectia familiei Briceni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2120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Ocnita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2121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asistenta sociala si protectia familiei Donduseni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2122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cultura Ceadir-Lunga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2138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cultura Comrat</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2156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Tineret si Sport Comrat</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2162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Rezina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2163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cultura Rezina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2166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generala invatamint, tineret si sport Rezina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2170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Sectia asistenta sociala si protectia familiei Soldanesti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2173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Bugetul Directia generala invatamint, tineret si sport Soldanesti</w:t>
            </w:r>
          </w:p>
        </w:tc>
      </w:tr>
      <w:tr w:rsidR="001113EB" w:rsidRPr="009C6550" w:rsidTr="001D2CE3">
        <w:trPr>
          <w:trHeight w:val="269"/>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2189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Directia Educatie Anenii Noi</w:t>
            </w:r>
          </w:p>
        </w:tc>
      </w:tr>
      <w:tr w:rsidR="001113EB" w:rsidRPr="009C6550" w:rsidTr="001D2CE3">
        <w:trPr>
          <w:trHeight w:val="224"/>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2190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Sectia Cultura si turism Anenii Noi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2192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Asistenta Sociala, Tineret si Protectia Familiei Anenii Noi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2199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Criuleni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2200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cultura Criuleni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2202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asistenta sociala si protectia familiei Criuleni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2210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Straseni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2213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asistenta sociala si protectia familiei Straseni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2220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INVATAMINT GENERAL DUBASARI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2222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asistenta sociala si protectia familiei Dubasari(Cocieri)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2227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generala invatamint, tineret si sport Stefan Voda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Leova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Cimislia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Basarabeasca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generala invatamint, tineret si sport Nisporeni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asistenta sociala si protectia familiei Nisporeni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2249</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invatamint, tineret si sport Calarasi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2251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asistenta sociala si protectia familiei Calarasi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2255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generala invatamint, tineret si sport Floresti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2256</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asistenta sociala si protectia familiei Floresti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2265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asistenta sociala si protectia familiei Cimislia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2270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generala invatamint, tineret si sport Drochia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lastRenderedPageBreak/>
              <w:t>2271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asistenta sociala si protectia familiei Drochia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2274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Educatie, Cultura si Turism</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2277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cultura Donduseni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2278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invatamint, tineret si sport Briceni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2282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Serviciul cultura Briceni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2283</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Ocnita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2292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Glodeni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2295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Generala Educatie Falesti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2298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Educatiei Consiliului raional Singerei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2301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Riscani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2305</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asistenta sociala si protectia familiei Cantemir</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2307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Directia generala invatamint, tineret si sport Cantemir</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2311</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Directia cultura si turism Calarasi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2312</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cultura Ocnita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2314</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cultura Ungheni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2317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cultura Cantemir</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2318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cultura Nisporeni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2320</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Bugetul Sectia cultura Cimislia</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2327</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cultura Floresti</w:t>
            </w:r>
          </w:p>
        </w:tc>
      </w:tr>
      <w:tr w:rsidR="001113EB" w:rsidRPr="009C6550" w:rsidTr="001D2CE3">
        <w:trPr>
          <w:trHeight w:val="255"/>
        </w:trPr>
        <w:tc>
          <w:tcPr>
            <w:tcW w:w="1372" w:type="dxa"/>
            <w:shd w:val="clear" w:color="auto" w:fill="auto"/>
            <w:vAlign w:val="bottom"/>
            <w:hideMark/>
          </w:tcPr>
          <w:p w:rsidR="001113EB" w:rsidRDefault="001113EB" w:rsidP="001113EB">
            <w:pPr>
              <w:rPr>
                <w:color w:val="000000"/>
                <w:sz w:val="20"/>
                <w:szCs w:val="20"/>
              </w:rPr>
            </w:pPr>
            <w:r>
              <w:rPr>
                <w:color w:val="000000"/>
                <w:sz w:val="20"/>
                <w:szCs w:val="20"/>
              </w:rPr>
              <w:t>2328</w:t>
            </w:r>
          </w:p>
        </w:tc>
        <w:tc>
          <w:tcPr>
            <w:tcW w:w="6906" w:type="dxa"/>
            <w:shd w:val="clear" w:color="auto" w:fill="auto"/>
            <w:vAlign w:val="bottom"/>
            <w:hideMark/>
          </w:tcPr>
          <w:p w:rsidR="001113EB" w:rsidRDefault="001113EB" w:rsidP="001113EB">
            <w:pPr>
              <w:rPr>
                <w:color w:val="000000"/>
                <w:sz w:val="20"/>
                <w:szCs w:val="20"/>
              </w:rPr>
            </w:pPr>
            <w:r>
              <w:rPr>
                <w:color w:val="000000"/>
                <w:sz w:val="20"/>
                <w:szCs w:val="20"/>
              </w:rPr>
              <w:t xml:space="preserve"> Sectia cultura Drochia</w:t>
            </w:r>
          </w:p>
        </w:tc>
      </w:tr>
      <w:tr w:rsidR="002109E3" w:rsidRPr="009C6550" w:rsidTr="001D2CE3">
        <w:trPr>
          <w:trHeight w:val="255"/>
        </w:trPr>
        <w:tc>
          <w:tcPr>
            <w:tcW w:w="1372" w:type="dxa"/>
            <w:shd w:val="clear" w:color="auto" w:fill="auto"/>
            <w:vAlign w:val="bottom"/>
            <w:hideMark/>
          </w:tcPr>
          <w:p w:rsidR="002109E3" w:rsidRDefault="002109E3" w:rsidP="001113EB">
            <w:pPr>
              <w:rPr>
                <w:color w:val="000000"/>
                <w:sz w:val="20"/>
                <w:szCs w:val="20"/>
              </w:rPr>
            </w:pPr>
            <w:r>
              <w:rPr>
                <w:color w:val="000000"/>
                <w:sz w:val="20"/>
                <w:szCs w:val="20"/>
              </w:rPr>
              <w:t>2343</w:t>
            </w:r>
          </w:p>
        </w:tc>
        <w:tc>
          <w:tcPr>
            <w:tcW w:w="6906" w:type="dxa"/>
            <w:shd w:val="clear" w:color="auto" w:fill="auto"/>
            <w:vAlign w:val="bottom"/>
            <w:hideMark/>
          </w:tcPr>
          <w:p w:rsidR="002109E3" w:rsidRDefault="002109E3" w:rsidP="001113EB">
            <w:pPr>
              <w:rPr>
                <w:color w:val="000000"/>
                <w:sz w:val="20"/>
                <w:szCs w:val="20"/>
              </w:rPr>
            </w:pPr>
            <w:r>
              <w:rPr>
                <w:color w:val="000000"/>
                <w:sz w:val="20"/>
                <w:szCs w:val="20"/>
              </w:rPr>
              <w:t xml:space="preserve"> Bugetul Sectia cultura Glodeni</w:t>
            </w:r>
          </w:p>
        </w:tc>
      </w:tr>
      <w:tr w:rsidR="002109E3" w:rsidRPr="009C6550" w:rsidTr="001D2CE3">
        <w:trPr>
          <w:trHeight w:val="255"/>
        </w:trPr>
        <w:tc>
          <w:tcPr>
            <w:tcW w:w="1372" w:type="dxa"/>
            <w:shd w:val="clear" w:color="auto" w:fill="auto"/>
            <w:vAlign w:val="bottom"/>
            <w:hideMark/>
          </w:tcPr>
          <w:p w:rsidR="002109E3" w:rsidRDefault="002109E3" w:rsidP="001113EB">
            <w:pPr>
              <w:rPr>
                <w:color w:val="000000"/>
                <w:sz w:val="20"/>
                <w:szCs w:val="20"/>
              </w:rPr>
            </w:pPr>
            <w:r>
              <w:rPr>
                <w:color w:val="000000"/>
                <w:sz w:val="20"/>
                <w:szCs w:val="20"/>
              </w:rPr>
              <w:t>2344</w:t>
            </w:r>
          </w:p>
        </w:tc>
        <w:tc>
          <w:tcPr>
            <w:tcW w:w="6906" w:type="dxa"/>
            <w:shd w:val="clear" w:color="auto" w:fill="auto"/>
            <w:vAlign w:val="bottom"/>
            <w:hideMark/>
          </w:tcPr>
          <w:p w:rsidR="002109E3" w:rsidRDefault="002109E3" w:rsidP="001113EB">
            <w:pPr>
              <w:rPr>
                <w:color w:val="000000"/>
                <w:sz w:val="20"/>
                <w:szCs w:val="20"/>
              </w:rPr>
            </w:pPr>
            <w:r>
              <w:rPr>
                <w:color w:val="000000"/>
                <w:sz w:val="20"/>
                <w:szCs w:val="20"/>
              </w:rPr>
              <w:t xml:space="preserve"> Bugetul Directia cultura Tineret si sport Riscani</w:t>
            </w:r>
          </w:p>
        </w:tc>
      </w:tr>
      <w:tr w:rsidR="002109E3" w:rsidRPr="009C6550" w:rsidTr="001D2CE3">
        <w:trPr>
          <w:trHeight w:val="255"/>
        </w:trPr>
        <w:tc>
          <w:tcPr>
            <w:tcW w:w="1372" w:type="dxa"/>
            <w:shd w:val="clear" w:color="auto" w:fill="auto"/>
            <w:vAlign w:val="bottom"/>
            <w:hideMark/>
          </w:tcPr>
          <w:p w:rsidR="002109E3" w:rsidRDefault="002109E3" w:rsidP="001113EB">
            <w:pPr>
              <w:rPr>
                <w:color w:val="000000"/>
                <w:sz w:val="20"/>
                <w:szCs w:val="20"/>
              </w:rPr>
            </w:pPr>
            <w:r>
              <w:rPr>
                <w:color w:val="000000"/>
                <w:sz w:val="20"/>
                <w:szCs w:val="20"/>
              </w:rPr>
              <w:t>2345</w:t>
            </w:r>
          </w:p>
        </w:tc>
        <w:tc>
          <w:tcPr>
            <w:tcW w:w="6906" w:type="dxa"/>
            <w:shd w:val="clear" w:color="auto" w:fill="auto"/>
            <w:vAlign w:val="bottom"/>
            <w:hideMark/>
          </w:tcPr>
          <w:p w:rsidR="002109E3" w:rsidRDefault="002109E3" w:rsidP="001113EB">
            <w:pPr>
              <w:rPr>
                <w:color w:val="000000"/>
                <w:sz w:val="20"/>
                <w:szCs w:val="20"/>
              </w:rPr>
            </w:pPr>
            <w:r>
              <w:rPr>
                <w:color w:val="000000"/>
                <w:sz w:val="20"/>
                <w:szCs w:val="20"/>
              </w:rPr>
              <w:t xml:space="preserve"> Bugetul Sectia de cultura Falesti</w:t>
            </w:r>
          </w:p>
        </w:tc>
      </w:tr>
      <w:tr w:rsidR="002109E3" w:rsidRPr="009C6550" w:rsidTr="001D2CE3">
        <w:trPr>
          <w:trHeight w:val="255"/>
        </w:trPr>
        <w:tc>
          <w:tcPr>
            <w:tcW w:w="1372" w:type="dxa"/>
            <w:shd w:val="clear" w:color="auto" w:fill="auto"/>
            <w:vAlign w:val="bottom"/>
            <w:hideMark/>
          </w:tcPr>
          <w:p w:rsidR="002109E3" w:rsidRDefault="002109E3" w:rsidP="002109E3">
            <w:pPr>
              <w:rPr>
                <w:rFonts w:eastAsia="Times New Roman"/>
                <w:color w:val="000000"/>
                <w:sz w:val="20"/>
                <w:szCs w:val="20"/>
              </w:rPr>
            </w:pPr>
            <w:r>
              <w:rPr>
                <w:color w:val="000000"/>
                <w:sz w:val="20"/>
                <w:szCs w:val="20"/>
              </w:rPr>
              <w:t>2368</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Agentia Nationala pentru Ocuparea Fortei de Munca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2370</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Cultura si Turism</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2399</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protectia familiei Telenesti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2400</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educatie Telenesti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2401</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Directa cultura, turism, tineret si sport Leova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2402</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protectia familiei Leova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2403</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Directa asistenta sociala si protecta familiei Basarabeasca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2404</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Protectie a Familiei Straseni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2405</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Sectia cultura Singerei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2406</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protectia familiei Stefan Voda</w:t>
            </w:r>
          </w:p>
        </w:tc>
      </w:tr>
      <w:tr w:rsidR="002109E3" w:rsidRPr="009C6550" w:rsidTr="001D2CE3">
        <w:trPr>
          <w:trHeight w:val="255"/>
        </w:trPr>
        <w:tc>
          <w:tcPr>
            <w:tcW w:w="1372" w:type="dxa"/>
            <w:shd w:val="clear" w:color="auto" w:fill="auto"/>
            <w:vAlign w:val="bottom"/>
            <w:hideMark/>
          </w:tcPr>
          <w:p w:rsidR="002109E3" w:rsidRDefault="002109E3" w:rsidP="002109E3">
            <w:pPr>
              <w:rPr>
                <w:rFonts w:eastAsia="Times New Roman"/>
                <w:color w:val="000000"/>
                <w:sz w:val="20"/>
                <w:szCs w:val="20"/>
              </w:rPr>
            </w:pPr>
            <w:r>
              <w:rPr>
                <w:color w:val="000000"/>
                <w:sz w:val="20"/>
                <w:szCs w:val="20"/>
              </w:rPr>
              <w:t>2368</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Agentia Nationala pentru Ocuparea Fortei de Munca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2370</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Cultura si Turism</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2399</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protectia familiei Telenesti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2400</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educatie Telenesti</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2401</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Directa cultura, turism, tineret si sport Leova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2402</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protectia familiei Leova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2403</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Directa asistenta sociala si protecta familiei Basarabeasca</w:t>
            </w:r>
          </w:p>
        </w:tc>
      </w:tr>
      <w:tr w:rsidR="002109E3" w:rsidRPr="009C6550" w:rsidTr="001D2CE3">
        <w:trPr>
          <w:trHeight w:val="255"/>
        </w:trPr>
        <w:tc>
          <w:tcPr>
            <w:tcW w:w="1372" w:type="dxa"/>
            <w:shd w:val="clear" w:color="auto" w:fill="auto"/>
            <w:vAlign w:val="bottom"/>
            <w:hideMark/>
          </w:tcPr>
          <w:p w:rsidR="002109E3" w:rsidRDefault="002109E3" w:rsidP="002109E3">
            <w:pPr>
              <w:rPr>
                <w:color w:val="000000"/>
                <w:sz w:val="20"/>
                <w:szCs w:val="20"/>
              </w:rPr>
            </w:pPr>
            <w:r>
              <w:rPr>
                <w:color w:val="000000"/>
                <w:sz w:val="20"/>
                <w:szCs w:val="20"/>
              </w:rPr>
              <w:t>2404</w:t>
            </w:r>
          </w:p>
        </w:tc>
        <w:tc>
          <w:tcPr>
            <w:tcW w:w="6906" w:type="dxa"/>
            <w:shd w:val="clear" w:color="auto" w:fill="auto"/>
            <w:vAlign w:val="bottom"/>
            <w:hideMark/>
          </w:tcPr>
          <w:p w:rsidR="002109E3" w:rsidRDefault="002109E3" w:rsidP="002109E3">
            <w:pPr>
              <w:rPr>
                <w:color w:val="000000"/>
                <w:sz w:val="20"/>
                <w:szCs w:val="20"/>
              </w:rPr>
            </w:pPr>
            <w:r>
              <w:rPr>
                <w:color w:val="000000"/>
                <w:sz w:val="20"/>
                <w:szCs w:val="20"/>
              </w:rPr>
              <w:t xml:space="preserve"> Directia Asistenta Sociala si Protectie a Familiei Straseni</w:t>
            </w:r>
          </w:p>
        </w:tc>
      </w:tr>
    </w:tbl>
    <w:p w:rsidR="00094C6C" w:rsidRDefault="00094C6C" w:rsidP="004E346F"/>
    <w:tbl>
      <w:tblPr>
        <w:tblW w:w="82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173"/>
      </w:tblGrid>
      <w:tr w:rsidR="00094C6C" w:rsidRPr="009C6550" w:rsidTr="001D2CE3">
        <w:trPr>
          <w:trHeight w:val="255"/>
        </w:trPr>
        <w:tc>
          <w:tcPr>
            <w:tcW w:w="1105" w:type="dxa"/>
            <w:shd w:val="clear" w:color="auto" w:fill="BFBFBF" w:themeFill="background1" w:themeFillShade="BF"/>
            <w:hideMark/>
          </w:tcPr>
          <w:p w:rsidR="00094C6C" w:rsidRPr="009C6550" w:rsidRDefault="00094C6C" w:rsidP="00DE516D">
            <w:pPr>
              <w:rPr>
                <w:rFonts w:eastAsia="Times New Roman"/>
                <w:b/>
                <w:bCs/>
                <w:color w:val="000000"/>
                <w:sz w:val="20"/>
                <w:szCs w:val="20"/>
              </w:rPr>
            </w:pPr>
            <w:r>
              <w:rPr>
                <w:rFonts w:eastAsia="Times New Roman"/>
                <w:b/>
                <w:bCs/>
                <w:color w:val="000000"/>
                <w:sz w:val="20"/>
                <w:szCs w:val="20"/>
              </w:rPr>
              <w:t>econ6</w:t>
            </w:r>
          </w:p>
        </w:tc>
        <w:tc>
          <w:tcPr>
            <w:tcW w:w="7173" w:type="dxa"/>
            <w:shd w:val="clear" w:color="auto" w:fill="BFBFBF" w:themeFill="background1" w:themeFillShade="BF"/>
            <w:hideMark/>
          </w:tcPr>
          <w:p w:rsidR="00094C6C" w:rsidRPr="009C6550" w:rsidRDefault="00094C6C" w:rsidP="00DE516D">
            <w:pPr>
              <w:rPr>
                <w:rFonts w:eastAsia="Times New Roman"/>
                <w:b/>
                <w:bCs/>
                <w:color w:val="000000"/>
                <w:sz w:val="20"/>
                <w:szCs w:val="20"/>
              </w:rPr>
            </w:pPr>
            <w:r>
              <w:rPr>
                <w:rFonts w:eastAsia="Times New Roman"/>
                <w:b/>
                <w:bCs/>
                <w:color w:val="000000"/>
                <w:sz w:val="20"/>
                <w:szCs w:val="20"/>
              </w:rPr>
              <w:t>econ6_md</w:t>
            </w:r>
          </w:p>
        </w:tc>
      </w:tr>
      <w:tr w:rsidR="00DE516D" w:rsidRPr="009C6550" w:rsidTr="001D2CE3">
        <w:trPr>
          <w:trHeight w:val="255"/>
        </w:trPr>
        <w:tc>
          <w:tcPr>
            <w:tcW w:w="1105" w:type="dxa"/>
            <w:shd w:val="clear" w:color="auto" w:fill="auto"/>
            <w:vAlign w:val="bottom"/>
            <w:hideMark/>
          </w:tcPr>
          <w:p w:rsidR="00DE516D" w:rsidRDefault="00DE516D" w:rsidP="00DE516D">
            <w:pPr>
              <w:rPr>
                <w:rFonts w:eastAsia="Times New Roman"/>
                <w:color w:val="000000"/>
                <w:sz w:val="20"/>
                <w:szCs w:val="20"/>
              </w:rPr>
            </w:pPr>
            <w:r>
              <w:rPr>
                <w:color w:val="000000"/>
                <w:sz w:val="20"/>
                <w:szCs w:val="20"/>
              </w:rPr>
              <w:t>211110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Salariul de baza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211120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Sporuri si suplimente la salariul de baza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211130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Ajutor material</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211140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Premieri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211150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Majorari conform deciziilor autoritatilor locale abilitate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lastRenderedPageBreak/>
              <w:t>211180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Remunerarea muncii angajatilor conform statelor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211190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plati salariale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Remunerarea muncii temporare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Compensatie pentru alimentatie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Compensatie pentru transport</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Compensatie pentru chiria spatiului locativ si pentru serviciile comunale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211340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pentru membrii personalului misiunilor diplomatice si al oficiilor consulare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211350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Compensatie pentru echipament</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211390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plati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212100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Contributii de asigurari sociale de stat obligatorii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212200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Prime de asigurare obligatorie de asistenţă medicală</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212210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Prime de asigurare obligatorie de asistenta medicala achitate de angajatori pe teritoriul tarii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220000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Bunuri si servicii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222110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Energie electrica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222120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Gaze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222130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Energie termica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222140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Apa si canalizare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222190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servicii comunale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222210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informationale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222220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telecomunicatii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222300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locatiune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222400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transport</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222500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reparatii curente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222600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Formare profesionala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222700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Deplasari de serviciu</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222710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Deplasari de serviciu in interiorul tarii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222720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Deplasari de serviciu peste hotare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222810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medicale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222820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asigurare medicala achitate peste hotare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servicii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editoriale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protocol</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cercetari stiintifice contractate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222940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paza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222950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judiciare si servicii de asistenta juridica garantata de stat</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222960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de evaluare a activelor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222970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bancare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222980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postale si distribuire a drepturilor sociale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222990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Servicii neatribuite altor aliniate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241100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pe imprumuturi externe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241900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dobinzi achitate la datoria externa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achitate la datoria interna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pe valori mobiliare de stat emise pe piata primara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242300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pe valori mobiliare de stat convertite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242500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Dobînzi la valori mobiliare de stat emise pentru alte scopuri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242510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la valori mobiliare de stat emise pentru asigurarea stabilitatii 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lastRenderedPageBreak/>
              <w:t>242520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la valori mobiliare de stat emise pentru crearea unei rezerve de lichiditati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242600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Dobînzi pe valori mobiliare de stat emise în formă materializată</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242700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pe imprumuturi acordate de institutiile 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242900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pe alte imprumuturi interne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243000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la imprumuturile altor nivele ale sistemului bugetar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243200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Dobinzi achitate pentru imprumuturile contractate de la bugete de alt nivel</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250000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251100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intreprinderilor de stat si municipale nefinanciare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251200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institutiilor de stat si municipale 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252100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intreprinderilor private nefinanciare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252200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institutiilor private 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253000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organizatiilor obstesti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254000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Subsidii acordate autoritatilor/institutiilor publice la autogestiune</w:t>
            </w:r>
          </w:p>
        </w:tc>
      </w:tr>
      <w:tr w:rsidR="00DE516D" w:rsidRPr="009C6550" w:rsidTr="001D2CE3">
        <w:trPr>
          <w:trHeight w:val="269"/>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263000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Granturi oferite persoanelor fizice</w:t>
            </w:r>
          </w:p>
        </w:tc>
      </w:tr>
      <w:tr w:rsidR="00DE516D" w:rsidRPr="009C6550" w:rsidTr="001D2CE3">
        <w:trPr>
          <w:trHeight w:val="224"/>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271100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Pensii de asigurări sociale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271200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de asigurari sociale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271700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Solda militarilor, sporurile şi suplimentele la ea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271900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prestatii de asigurari sociale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Prestatii de asistenta sociala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Pensii de asistenta sociala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Suplimente la pensii de asistenta sociala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272300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de asistenta sociala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272400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Alocatii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272500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272600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Ajutoare banesti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272700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Credite preferentiale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272900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prestatii de asistenta sociala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membrilor familiilor personalului misiunilor diplomatice si al oficiilor consulare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273200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la incetarea actiunii contractului de munca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273300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viagere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273400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Compensaţii pentru procurarea spaţiului locativ</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273500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pentru incapacitatea temporara de munca achitate din mijloacele financiare ale angajato</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273600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Achitarea indemnizatiei alesului local la expirarea mandatului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273900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prestatii sociale ale angajatorilor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cheltuieli curente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281110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Cotizatii in organizatiile internationale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281120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Cotizatii in organizatiile din tara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281211</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Burse de studii studentilor autohtoni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281212</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Burse de studii studentilor de peste hotarele republicii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Burse sociale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281221</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Burse sociale studentilor autohtoni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281222</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Burse sociale studentilor de peste hotarele republicii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281230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plati asociate cu bursa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Despăgubiri civile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Compensatii persoanelor represate si ulterior reabilitate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Compensatii pentru averea persoanelor represate si ulterior reabilitate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lastRenderedPageBreak/>
              <w:t>281330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Compensatii unice membrilor familiilor persoanelor reabilitate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281340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Ajutoare populatiei care a suferit in urma calamitatilor naturale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281350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Plati aferente indexarii esalonate a depunerilor cetatenilor la Banca de Economii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281360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Plăţi aferente documentelor executorii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281361</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Plati aferente documentelor executorii cu executare benevola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281362</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Plati aferente documentelor executorii cu executare silita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281390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despagubiri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281400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Taxe, amenzi, penalitati si alte plati obligatorii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281500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Rambursarea mijloacelor bugetare din anii precedenti la autoritatea/institutia bugetara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281600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cheltuieli in baza de contracte cu persoane fizice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281700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Solda militarilor, sporurile si suplimentele la ea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281800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Comanda de stat pentru pregatirea cadrelor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281811</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Comanda de stat pentru pregatirea cadrelor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281812</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Indemnizatii membrilor Consiliului pentru dezvoltarea strategica institutionala</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281900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cheltuieli curente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282100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Cheltuieli capitale pentru lucrari topografogeodezice, de cartografie si cadastru</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282900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Cheltuieli capitale neatribuite la alte categorii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290000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Transferuri acordate în cadrul budgetului public national</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291100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Transferuri acordate între bugetul de stat şi bugetele locale de nivelul II</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294000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Transferuri acordate intre bugetele locale a diferitor unităţi administrativ-teritoriale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300000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Active nefinanciare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310000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Mijloace fixe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311110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Procurarea cladirilor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311120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Reparatii capitale ale cladirilor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311190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majorari a valorii cladirilor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311210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Realizarea cladirilor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311290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Alte micsorari a valorii cladirilor</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312110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Procurarea constructiilor speciale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312120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Reparatii capitale ale constructiilor speciale</w:t>
            </w:r>
          </w:p>
        </w:tc>
      </w:tr>
      <w:tr w:rsidR="00DE516D" w:rsidRPr="009C6550" w:rsidTr="001D2CE3">
        <w:trPr>
          <w:trHeight w:val="255"/>
        </w:trPr>
        <w:tc>
          <w:tcPr>
            <w:tcW w:w="1105" w:type="dxa"/>
            <w:shd w:val="clear" w:color="auto" w:fill="auto"/>
            <w:vAlign w:val="bottom"/>
            <w:hideMark/>
          </w:tcPr>
          <w:p w:rsidR="00DE516D" w:rsidRDefault="00DE516D" w:rsidP="00DE516D">
            <w:pPr>
              <w:rPr>
                <w:color w:val="000000"/>
                <w:sz w:val="20"/>
                <w:szCs w:val="20"/>
              </w:rPr>
            </w:pPr>
            <w:r>
              <w:rPr>
                <w:color w:val="000000"/>
                <w:sz w:val="20"/>
                <w:szCs w:val="20"/>
              </w:rPr>
              <w:t>312210</w:t>
            </w:r>
          </w:p>
        </w:tc>
        <w:tc>
          <w:tcPr>
            <w:tcW w:w="7173" w:type="dxa"/>
            <w:shd w:val="clear" w:color="auto" w:fill="auto"/>
            <w:vAlign w:val="bottom"/>
            <w:hideMark/>
          </w:tcPr>
          <w:p w:rsidR="00DE516D" w:rsidRDefault="00DE516D" w:rsidP="00DE516D">
            <w:pPr>
              <w:rPr>
                <w:color w:val="000000"/>
                <w:sz w:val="20"/>
                <w:szCs w:val="20"/>
              </w:rPr>
            </w:pPr>
            <w:r>
              <w:rPr>
                <w:color w:val="000000"/>
                <w:sz w:val="20"/>
                <w:szCs w:val="20"/>
              </w:rPr>
              <w:t>Realizarea constructiilor speciale</w:t>
            </w:r>
          </w:p>
        </w:tc>
      </w:tr>
      <w:tr w:rsidR="00395D20" w:rsidRPr="009C6550" w:rsidTr="001D2CE3">
        <w:trPr>
          <w:trHeight w:val="255"/>
        </w:trPr>
        <w:tc>
          <w:tcPr>
            <w:tcW w:w="1105" w:type="dxa"/>
            <w:shd w:val="clear" w:color="auto" w:fill="auto"/>
            <w:vAlign w:val="bottom"/>
          </w:tcPr>
          <w:p w:rsidR="00395D20" w:rsidRDefault="00395D20" w:rsidP="00395D20">
            <w:pPr>
              <w:rPr>
                <w:rFonts w:eastAsia="Times New Roman"/>
                <w:color w:val="000000"/>
                <w:sz w:val="20"/>
                <w:szCs w:val="20"/>
              </w:rPr>
            </w:pPr>
            <w:r>
              <w:rPr>
                <w:color w:val="000000"/>
                <w:sz w:val="20"/>
                <w:szCs w:val="20"/>
              </w:rPr>
              <w:t>313110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instalatiilor de transmisie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313120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Reparatii capitale ale instalatiilor de transmisie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313210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instalatiilor de transmisie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314000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Maşini şi utilaje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314110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masinilor si utilajelor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314120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Reparatii capitale ale masinilor si utilajelor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314190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masinilor si utilajelor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314210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masinilor si utilajelor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315110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mijloacelor de transport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315120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Reparatii capitale ale mijloacelor de transport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315210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mijloacelor de transport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316110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uneltelor si sculelor, inventarului de producere si gospodaresc</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316120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Reparatii capitale ale uneltelor si sculelor, inventarului de producere si gospodaresc</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316140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Reevaluarea uneltelor si sculelor, inventarului de producere si gospodaresc-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316190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uneltelor si sculelor, inventarului de producere si gospodaresc</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316210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uneltelor si sculelor, inventarului de producere si gospodaresc</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317110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activelor nemateriale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lastRenderedPageBreak/>
              <w:t>317130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active nemateriale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317190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activelor nemateriale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317210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activelor nemateriale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altor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Reparatii capitale ale altor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alte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ale valorii altor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318210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altor mijloace fixe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319100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Investitii capitale in active nemateriale in curs de execuitie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Cladiri in curs de executie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319220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Constructii speciale in curs de executie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Instalatii de transmisie in curs de executie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319240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Pregatirea proiectelor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319290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investitii capitale in active materiale in curs de executie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319410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cladirilor in curs de executie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320000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Rezerve materiale ale statului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321110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rezervelor materiale de stat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322110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rezervelor de mobilizare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Combustibil, carburanţi şi lubrifianţi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combustibilului, carburantilor si lubrifiantilor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combustibil, carburanti si lubrifianti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Reevaluarea combustibilului, carburantilor si lubrifiantilor -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combustibilului, carburantilor si lubrifiantilor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combustibilului, carburantilor si lubrifiantilor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331230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combustubilului, carburantilor si lubrifiantilor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332110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pieselor de schimb</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332190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pieselor de schimb</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332210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pieselor de schimb</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332230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pieselor de schimb</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Produse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produselor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produse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Reevaluarea produselor alimentare -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ale valorii de produse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produselor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333230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produselor alimentare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Medicamente şi materiale sanitare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medicamentelor si materialelor sanitare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 medicamentelor si materialelor sanitare -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medicamentelor si materialelor sanitare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medicamentelor si materialelor sanitare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334280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Medicamente si materiale sanitare transmise la terti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334290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micsorari a valorii medicamentelor si materialelor sanitare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Materiale pentru scopuri didactice, ştiinţifice şi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materialelor pentru scopuri didactice, stiintifice si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materiale pentru scopuri didactice, stiintifice si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Reevaluarea materialelor pentru scopuri didactice, stiintifice si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lastRenderedPageBreak/>
              <w:t>335190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materialelor pentru scopuri didactice, stiintifice si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materialelor pentru scopuri didactice, stiintifice si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335230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materialelor pentru scopuri didactice, stiintifice si in alte scopuri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Materiale de uz gospodăresc şi rechizite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materialelor de uz gospodaresc si rechizitelor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336130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Intrari gratuite de materiale de uz gospodaresc si rechizite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 materialelor de uz gospodaresc si rechizitelor de birou -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materialelor de uz gospodaresc si rechizitelor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materialelor de uz gospodaresc si rechizitelor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336230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materialelor de uz gospodaresc si rechizite de birou</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337110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materialelor de constructie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337210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materialelor de constructie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338000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Accesorii de pat, îmbrăcăminte, încălţăminte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338110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accesorilor de pat, imbracamintei, incaltamintei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338190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 valorii accesoriilor de pat, imbracamintei, incaltamintei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338210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accesoriilor de pat, imbracamintei, incaltamintei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338230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Casarea accesoriilor de pat, imbracamintei, incaltamintei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339110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altor 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339190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Alte majorari ale valorii de alte 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339210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altor materiale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343210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produselor finite ale unitatilor de productie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344210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productiei finite a gospodariilor agricole auxiliare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351110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marfurilor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361110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metalelor si pietrelor pretioase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363110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activelor mostenirii culturale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364110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altor valori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371110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terenurilor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371120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Investitii in terenuri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371140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Reevaluarea terenurilor - majorarea valorii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371210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terenurilor</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372210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Realizarea resurselor naturale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400000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Active financiare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414500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Împrumuturi recreditate bugetelor de alt nivel</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414600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Împrumuturi recreditate instituţiilor nefinanciare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414700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Împrumuturi recreditate instituţiilor financiare</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414820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Dezafectarea mijloacelor bugetare pentru onorarea garanţiilor de stat pentru împrumuturi de stat int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415100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Majorarea volumului acţiunilor şi a cotei părţi în capitalul social în interiorul ţării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415110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pachetelor de acţiuni</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415200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Procurarea cotei părţi în capital social</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442310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Acordarea creditelor în cadrul bugetului de stat</w:t>
            </w:r>
          </w:p>
        </w:tc>
      </w:tr>
      <w:tr w:rsidR="00395D20" w:rsidRPr="009C6550" w:rsidTr="001D2CE3">
        <w:trPr>
          <w:trHeight w:val="255"/>
        </w:trPr>
        <w:tc>
          <w:tcPr>
            <w:tcW w:w="1105" w:type="dxa"/>
            <w:shd w:val="clear" w:color="auto" w:fill="auto"/>
            <w:vAlign w:val="bottom"/>
          </w:tcPr>
          <w:p w:rsidR="00395D20" w:rsidRDefault="00395D20" w:rsidP="00395D20">
            <w:pPr>
              <w:rPr>
                <w:color w:val="000000"/>
                <w:sz w:val="20"/>
                <w:szCs w:val="20"/>
              </w:rPr>
            </w:pPr>
            <w:r>
              <w:rPr>
                <w:color w:val="000000"/>
                <w:sz w:val="20"/>
                <w:szCs w:val="20"/>
              </w:rPr>
              <w:t>442320</w:t>
            </w:r>
          </w:p>
        </w:tc>
        <w:tc>
          <w:tcPr>
            <w:tcW w:w="7173" w:type="dxa"/>
            <w:shd w:val="clear" w:color="auto" w:fill="auto"/>
            <w:vAlign w:val="bottom"/>
          </w:tcPr>
          <w:p w:rsidR="00395D20" w:rsidRDefault="00395D20" w:rsidP="00395D20">
            <w:pPr>
              <w:rPr>
                <w:color w:val="000000"/>
                <w:sz w:val="20"/>
                <w:szCs w:val="20"/>
              </w:rPr>
            </w:pPr>
            <w:r>
              <w:rPr>
                <w:color w:val="000000"/>
                <w:sz w:val="20"/>
                <w:szCs w:val="20"/>
              </w:rPr>
              <w:t>Rambursarea creditelor în cadrul bugetului de stat</w:t>
            </w:r>
          </w:p>
        </w:tc>
      </w:tr>
    </w:tbl>
    <w:p w:rsidR="00094C6C" w:rsidRDefault="00094C6C" w:rsidP="004E346F"/>
    <w:tbl>
      <w:tblPr>
        <w:tblW w:w="82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173"/>
      </w:tblGrid>
      <w:tr w:rsidR="00BB2C12" w:rsidRPr="0095500B" w:rsidTr="001D2CE3">
        <w:trPr>
          <w:trHeight w:val="255"/>
        </w:trPr>
        <w:tc>
          <w:tcPr>
            <w:tcW w:w="1105" w:type="dxa"/>
            <w:shd w:val="clear" w:color="auto" w:fill="BFBFBF" w:themeFill="background1" w:themeFillShade="BF"/>
            <w:hideMark/>
          </w:tcPr>
          <w:p w:rsidR="00BB2C12" w:rsidRPr="0095500B" w:rsidRDefault="00BB2C12" w:rsidP="00F83B48">
            <w:pPr>
              <w:rPr>
                <w:rFonts w:eastAsia="Times New Roman"/>
                <w:b/>
                <w:bCs/>
                <w:color w:val="000000"/>
                <w:sz w:val="20"/>
                <w:szCs w:val="20"/>
              </w:rPr>
            </w:pPr>
            <w:r w:rsidRPr="0095500B">
              <w:rPr>
                <w:rFonts w:eastAsia="Times New Roman"/>
                <w:b/>
                <w:bCs/>
                <w:color w:val="000000"/>
                <w:sz w:val="20"/>
                <w:szCs w:val="20"/>
              </w:rPr>
              <w:t>func3</w:t>
            </w:r>
          </w:p>
        </w:tc>
        <w:tc>
          <w:tcPr>
            <w:tcW w:w="7173" w:type="dxa"/>
            <w:shd w:val="clear" w:color="auto" w:fill="BFBFBF" w:themeFill="background1" w:themeFillShade="BF"/>
            <w:hideMark/>
          </w:tcPr>
          <w:p w:rsidR="00BB2C12" w:rsidRPr="0095500B" w:rsidRDefault="00BB2C12" w:rsidP="00F83B48">
            <w:pPr>
              <w:rPr>
                <w:rFonts w:eastAsia="Times New Roman"/>
                <w:b/>
                <w:bCs/>
                <w:color w:val="000000"/>
                <w:sz w:val="20"/>
                <w:szCs w:val="20"/>
              </w:rPr>
            </w:pPr>
            <w:r w:rsidRPr="0095500B">
              <w:rPr>
                <w:rFonts w:eastAsia="Times New Roman"/>
                <w:b/>
                <w:bCs/>
                <w:color w:val="000000"/>
                <w:sz w:val="20"/>
                <w:szCs w:val="20"/>
              </w:rPr>
              <w:t>func3_md</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rFonts w:eastAsia="Times New Roman"/>
                <w:sz w:val="20"/>
                <w:szCs w:val="20"/>
              </w:rPr>
            </w:pPr>
            <w:r w:rsidRPr="0095500B">
              <w:rPr>
                <w:sz w:val="20"/>
                <w:szCs w:val="20"/>
              </w:rPr>
              <w:t>0111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Autoritati legislative si executive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0112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bugetar-fiscale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0113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Afaceri externe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0132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de planificare si statistica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lastRenderedPageBreak/>
              <w:t>0133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generale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0140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Cercetari stiintifice fundamentale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0150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Cercetari stiintifice aplicate legate de servicii de stat cu destinatie generala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0161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electorale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0169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de stat cu destinatie generala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0171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Serviciul datoriei interne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0172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Serviciul datoriei externe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0210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Forte de aparare nationala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0259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apararii nationale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0311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Politie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0312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Trupe de carabinieri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0313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Securitate nationala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0314</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Politia de frontiera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0319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afacerilor interne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0321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de pompieri si salvatori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0323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de salvare in situatii exceptionale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0331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Magistrat</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0332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Infaptuirea judecatii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0333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Procuratura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0334</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Probatiune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0339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justitiei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0340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Sistemul penitenciar</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0350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Cercetari stiintifice aplicate in domeniul ordinii publice si securitatii nationale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0369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ordinii publice si securitatii nationale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0411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generale economice si comerciale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0412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Servicii generale in domeniul fortei de munca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0419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economice generale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0421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Agricultura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0422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Gospodarie silvica</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0429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agriculturii, gospodariei silvice, gospodariei piscicole si gospodariei de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0432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Petrol si gaze naturale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0434</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tipuri de combustibil</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0435</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Electricitate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0436</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tipuri de energie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0439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energeticii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0441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Extractia resurselor minerale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0442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Industrie prelucratoare</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0443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Constructii</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0449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constructiilor</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0451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Transport rutier</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0452</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Transport naval</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0453</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Transport feroviar</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0455</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Conducte si alte tipuri de transport</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0459</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Alte servicii in domeniul transporturilor</w:t>
            </w:r>
          </w:p>
        </w:tc>
      </w:tr>
      <w:tr w:rsidR="004F6CD2" w:rsidRPr="0095500B" w:rsidTr="001D2CE3">
        <w:trPr>
          <w:trHeight w:val="255"/>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0460</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Comunicatii</w:t>
            </w:r>
          </w:p>
        </w:tc>
      </w:tr>
      <w:tr w:rsidR="004F6CD2" w:rsidRPr="0095500B" w:rsidTr="001D2CE3">
        <w:trPr>
          <w:trHeight w:val="68"/>
        </w:trPr>
        <w:tc>
          <w:tcPr>
            <w:tcW w:w="1105" w:type="dxa"/>
            <w:shd w:val="clear" w:color="auto" w:fill="auto"/>
            <w:vAlign w:val="bottom"/>
            <w:hideMark/>
          </w:tcPr>
          <w:p w:rsidR="004F6CD2" w:rsidRPr="0095500B" w:rsidRDefault="004F6CD2" w:rsidP="004F6CD2">
            <w:pPr>
              <w:rPr>
                <w:sz w:val="20"/>
                <w:szCs w:val="20"/>
              </w:rPr>
            </w:pPr>
            <w:r w:rsidRPr="0095500B">
              <w:rPr>
                <w:sz w:val="20"/>
                <w:szCs w:val="20"/>
              </w:rPr>
              <w:t>0461</w:t>
            </w:r>
          </w:p>
        </w:tc>
        <w:tc>
          <w:tcPr>
            <w:tcW w:w="7173" w:type="dxa"/>
            <w:shd w:val="clear" w:color="auto" w:fill="auto"/>
            <w:vAlign w:val="bottom"/>
            <w:hideMark/>
          </w:tcPr>
          <w:p w:rsidR="004F6CD2" w:rsidRPr="0095500B" w:rsidRDefault="004F6CD2" w:rsidP="004F6CD2">
            <w:pPr>
              <w:rPr>
                <w:sz w:val="20"/>
                <w:szCs w:val="20"/>
              </w:rPr>
            </w:pPr>
            <w:r w:rsidRPr="0095500B">
              <w:rPr>
                <w:sz w:val="20"/>
                <w:szCs w:val="20"/>
              </w:rPr>
              <w:t>Comunicatii</w:t>
            </w:r>
          </w:p>
        </w:tc>
      </w:tr>
      <w:tr w:rsidR="0095500B" w:rsidRPr="0095500B" w:rsidTr="001D2CE3">
        <w:trPr>
          <w:trHeight w:val="68"/>
        </w:trPr>
        <w:tc>
          <w:tcPr>
            <w:tcW w:w="1105" w:type="dxa"/>
            <w:shd w:val="clear" w:color="auto" w:fill="auto"/>
            <w:vAlign w:val="bottom"/>
          </w:tcPr>
          <w:p w:rsidR="0095500B" w:rsidRPr="0095500B" w:rsidRDefault="0095500B" w:rsidP="0095500B">
            <w:pPr>
              <w:rPr>
                <w:rFonts w:eastAsia="Times New Roman"/>
                <w:sz w:val="20"/>
                <w:szCs w:val="20"/>
              </w:rPr>
            </w:pPr>
            <w:r w:rsidRPr="0095500B">
              <w:rPr>
                <w:sz w:val="20"/>
                <w:szCs w:val="20"/>
              </w:rPr>
              <w:t>0473</w:t>
            </w:r>
          </w:p>
        </w:tc>
        <w:tc>
          <w:tcPr>
            <w:tcW w:w="7173" w:type="dxa"/>
            <w:shd w:val="clear" w:color="auto" w:fill="auto"/>
            <w:vAlign w:val="bottom"/>
          </w:tcPr>
          <w:p w:rsidR="0095500B" w:rsidRPr="0095500B" w:rsidRDefault="0095500B" w:rsidP="0095500B">
            <w:pPr>
              <w:rPr>
                <w:sz w:val="20"/>
                <w:szCs w:val="20"/>
              </w:rPr>
            </w:pPr>
            <w:r w:rsidRPr="0095500B">
              <w:rPr>
                <w:sz w:val="20"/>
                <w:szCs w:val="20"/>
              </w:rPr>
              <w:t>Turism</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lastRenderedPageBreak/>
              <w:t>0474</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economice multifunctionale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0482</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agricultura, gospodaria silvica, gospodaria piscicola si gospodari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0483</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domeniul combustibilului si energiei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0487</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alte domenii ale economiei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0499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activitati economice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0510</w:t>
            </w:r>
          </w:p>
        </w:tc>
        <w:tc>
          <w:tcPr>
            <w:tcW w:w="7173" w:type="dxa"/>
            <w:shd w:val="clear" w:color="auto" w:fill="auto"/>
            <w:vAlign w:val="bottom"/>
          </w:tcPr>
          <w:p w:rsidR="0095500B" w:rsidRPr="0095500B" w:rsidRDefault="0095500B" w:rsidP="0095500B">
            <w:pPr>
              <w:rPr>
                <w:sz w:val="20"/>
                <w:szCs w:val="20"/>
              </w:rPr>
            </w:pPr>
            <w:r w:rsidRPr="0095500B">
              <w:rPr>
                <w:sz w:val="20"/>
                <w:szCs w:val="20"/>
              </w:rPr>
              <w:t>Colectarea si distrugerea deseurilor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0530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impotriva poluarii mediului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0540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a biodiversitatii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0550</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domeniul protectiei mediului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0569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protectiei mediului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0610</w:t>
            </w:r>
          </w:p>
        </w:tc>
        <w:tc>
          <w:tcPr>
            <w:tcW w:w="7173" w:type="dxa"/>
            <w:shd w:val="clear" w:color="auto" w:fill="auto"/>
            <w:vAlign w:val="bottom"/>
          </w:tcPr>
          <w:p w:rsidR="0095500B" w:rsidRPr="0095500B" w:rsidRDefault="0095500B" w:rsidP="0095500B">
            <w:pPr>
              <w:rPr>
                <w:sz w:val="20"/>
                <w:szCs w:val="20"/>
              </w:rPr>
            </w:pPr>
            <w:r w:rsidRPr="0095500B">
              <w:rPr>
                <w:sz w:val="20"/>
                <w:szCs w:val="20"/>
              </w:rPr>
              <w:t>Gospodaria de locuinte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0620</w:t>
            </w:r>
          </w:p>
        </w:tc>
        <w:tc>
          <w:tcPr>
            <w:tcW w:w="7173" w:type="dxa"/>
            <w:shd w:val="clear" w:color="auto" w:fill="auto"/>
            <w:vAlign w:val="bottom"/>
          </w:tcPr>
          <w:p w:rsidR="0095500B" w:rsidRPr="0095500B" w:rsidRDefault="0095500B" w:rsidP="0095500B">
            <w:pPr>
              <w:rPr>
                <w:sz w:val="20"/>
                <w:szCs w:val="20"/>
              </w:rPr>
            </w:pPr>
            <w:r w:rsidRPr="0095500B">
              <w:rPr>
                <w:sz w:val="20"/>
                <w:szCs w:val="20"/>
              </w:rPr>
              <w:t>Dezvoltare comunala si amenajare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0630</w:t>
            </w:r>
          </w:p>
        </w:tc>
        <w:tc>
          <w:tcPr>
            <w:tcW w:w="7173" w:type="dxa"/>
            <w:shd w:val="clear" w:color="auto" w:fill="auto"/>
            <w:vAlign w:val="bottom"/>
          </w:tcPr>
          <w:p w:rsidR="0095500B" w:rsidRPr="0095500B" w:rsidRDefault="0095500B" w:rsidP="0095500B">
            <w:pPr>
              <w:rPr>
                <w:sz w:val="20"/>
                <w:szCs w:val="20"/>
              </w:rPr>
            </w:pPr>
            <w:r w:rsidRPr="0095500B">
              <w:rPr>
                <w:sz w:val="20"/>
                <w:szCs w:val="20"/>
              </w:rPr>
              <w:t>Aprovizionarea cu apa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0640</w:t>
            </w:r>
          </w:p>
        </w:tc>
        <w:tc>
          <w:tcPr>
            <w:tcW w:w="7173" w:type="dxa"/>
            <w:shd w:val="clear" w:color="auto" w:fill="auto"/>
            <w:vAlign w:val="bottom"/>
          </w:tcPr>
          <w:p w:rsidR="0095500B" w:rsidRPr="0095500B" w:rsidRDefault="0095500B" w:rsidP="0095500B">
            <w:pPr>
              <w:rPr>
                <w:sz w:val="20"/>
                <w:szCs w:val="20"/>
              </w:rPr>
            </w:pPr>
            <w:r w:rsidRPr="0095500B">
              <w:rPr>
                <w:sz w:val="20"/>
                <w:szCs w:val="20"/>
              </w:rPr>
              <w:t>Iluminarea strazilor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0669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gospodariei de locuinte si gospodariei serviciilor comunale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0711</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Produse farmaceutice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0721</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medicale generale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0722</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medicale specializate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0731</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spitalicesti generale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0732</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spitalicesti specializate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0734</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de recuperare a sanatatii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0740</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de sanatate publica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0750</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domeniul ocrotirii sanatatii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0761</w:t>
            </w:r>
          </w:p>
        </w:tc>
        <w:tc>
          <w:tcPr>
            <w:tcW w:w="7173" w:type="dxa"/>
            <w:shd w:val="clear" w:color="auto" w:fill="auto"/>
            <w:vAlign w:val="bottom"/>
          </w:tcPr>
          <w:p w:rsidR="0095500B" w:rsidRPr="0095500B" w:rsidRDefault="0095500B" w:rsidP="0095500B">
            <w:pPr>
              <w:rPr>
                <w:sz w:val="20"/>
                <w:szCs w:val="20"/>
              </w:rPr>
            </w:pPr>
            <w:r w:rsidRPr="0095500B">
              <w:rPr>
                <w:sz w:val="20"/>
                <w:szCs w:val="20"/>
              </w:rPr>
              <w:t>Administrarea in domeniul ocrotirii sanatatii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0762</w:t>
            </w:r>
          </w:p>
        </w:tc>
        <w:tc>
          <w:tcPr>
            <w:tcW w:w="7173" w:type="dxa"/>
            <w:shd w:val="clear" w:color="auto" w:fill="auto"/>
            <w:vAlign w:val="bottom"/>
          </w:tcPr>
          <w:p w:rsidR="0095500B" w:rsidRPr="0095500B" w:rsidRDefault="0095500B" w:rsidP="0095500B">
            <w:pPr>
              <w:rPr>
                <w:sz w:val="20"/>
                <w:szCs w:val="20"/>
              </w:rPr>
            </w:pPr>
            <w:r w:rsidRPr="0095500B">
              <w:rPr>
                <w:sz w:val="20"/>
                <w:szCs w:val="20"/>
              </w:rPr>
              <w:t>Administrarea sistemului asigurarii obligatorii de asistenta medicala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0769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ocrotirii sanatatii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0811</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de odihna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0812</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de sport si cultura fizica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0813</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pentru tineret</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0820</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in domeniul culturii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0831</w:t>
            </w:r>
          </w:p>
        </w:tc>
        <w:tc>
          <w:tcPr>
            <w:tcW w:w="7173" w:type="dxa"/>
            <w:shd w:val="clear" w:color="auto" w:fill="auto"/>
            <w:vAlign w:val="bottom"/>
          </w:tcPr>
          <w:p w:rsidR="0095500B" w:rsidRPr="0095500B" w:rsidRDefault="0095500B" w:rsidP="0095500B">
            <w:pPr>
              <w:rPr>
                <w:sz w:val="20"/>
                <w:szCs w:val="20"/>
              </w:rPr>
            </w:pPr>
            <w:r w:rsidRPr="0095500B">
              <w:rPr>
                <w:sz w:val="20"/>
                <w:szCs w:val="20"/>
              </w:rPr>
              <w:t>Televiziune si radiodifuziune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0832</w:t>
            </w:r>
          </w:p>
        </w:tc>
        <w:tc>
          <w:tcPr>
            <w:tcW w:w="7173" w:type="dxa"/>
            <w:shd w:val="clear" w:color="auto" w:fill="auto"/>
            <w:vAlign w:val="bottom"/>
          </w:tcPr>
          <w:p w:rsidR="0095500B" w:rsidRPr="0095500B" w:rsidRDefault="0095500B" w:rsidP="0095500B">
            <w:pPr>
              <w:rPr>
                <w:sz w:val="20"/>
                <w:szCs w:val="20"/>
              </w:rPr>
            </w:pPr>
            <w:r w:rsidRPr="0095500B">
              <w:rPr>
                <w:sz w:val="20"/>
                <w:szCs w:val="20"/>
              </w:rPr>
              <w:t>Presa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0840</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legate de culte si alte societati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0850</w:t>
            </w:r>
          </w:p>
        </w:tc>
        <w:tc>
          <w:tcPr>
            <w:tcW w:w="7173" w:type="dxa"/>
            <w:shd w:val="clear" w:color="auto" w:fill="auto"/>
            <w:vAlign w:val="bottom"/>
          </w:tcPr>
          <w:p w:rsidR="0095500B" w:rsidRPr="0095500B" w:rsidRDefault="0095500B" w:rsidP="0095500B">
            <w:pPr>
              <w:rPr>
                <w:sz w:val="20"/>
                <w:szCs w:val="20"/>
              </w:rPr>
            </w:pPr>
            <w:r w:rsidRPr="0095500B">
              <w:rPr>
                <w:sz w:val="20"/>
                <w:szCs w:val="20"/>
              </w:rPr>
              <w:t>Cercetari stiintifice aplicate in domeniul culturii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0861</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culturii, cultelor si odihnei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0862</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tineretului si sportului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0911</w:t>
            </w:r>
          </w:p>
        </w:tc>
        <w:tc>
          <w:tcPr>
            <w:tcW w:w="7173" w:type="dxa"/>
            <w:shd w:val="clear" w:color="auto" w:fill="auto"/>
            <w:vAlign w:val="bottom"/>
          </w:tcPr>
          <w:p w:rsidR="0095500B" w:rsidRPr="0095500B" w:rsidRDefault="0095500B" w:rsidP="0095500B">
            <w:pPr>
              <w:rPr>
                <w:sz w:val="20"/>
                <w:szCs w:val="20"/>
              </w:rPr>
            </w:pPr>
            <w:r w:rsidRPr="0095500B">
              <w:rPr>
                <w:sz w:val="20"/>
                <w:szCs w:val="20"/>
              </w:rPr>
              <w:t>Educatie timpurie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0912</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primar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0921</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gimnazial</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0922</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liceal</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0931</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profesional - tehnic secundar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0932</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profesional - tehnic postsecundar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0941</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superior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0942</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superior postuniversitar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0950</w:t>
            </w:r>
          </w:p>
        </w:tc>
        <w:tc>
          <w:tcPr>
            <w:tcW w:w="7173" w:type="dxa"/>
            <w:shd w:val="clear" w:color="auto" w:fill="auto"/>
            <w:vAlign w:val="bottom"/>
          </w:tcPr>
          <w:p w:rsidR="0095500B" w:rsidRPr="0095500B" w:rsidRDefault="0095500B" w:rsidP="0095500B">
            <w:pPr>
              <w:rPr>
                <w:sz w:val="20"/>
                <w:szCs w:val="20"/>
              </w:rPr>
            </w:pPr>
            <w:r w:rsidRPr="0095500B">
              <w:rPr>
                <w:sz w:val="20"/>
                <w:szCs w:val="20"/>
              </w:rPr>
              <w:t>Invatamint nedefinit dupa nivel</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0960</w:t>
            </w:r>
          </w:p>
        </w:tc>
        <w:tc>
          <w:tcPr>
            <w:tcW w:w="7173" w:type="dxa"/>
            <w:shd w:val="clear" w:color="auto" w:fill="auto"/>
            <w:vAlign w:val="bottom"/>
          </w:tcPr>
          <w:p w:rsidR="0095500B" w:rsidRPr="0095500B" w:rsidRDefault="0095500B" w:rsidP="0095500B">
            <w:pPr>
              <w:rPr>
                <w:sz w:val="20"/>
                <w:szCs w:val="20"/>
              </w:rPr>
            </w:pPr>
            <w:r w:rsidRPr="0095500B">
              <w:rPr>
                <w:sz w:val="20"/>
                <w:szCs w:val="20"/>
              </w:rPr>
              <w:t>Servicii afiliate invatamintului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0989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in domeniul invatamantului</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1012</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in caz de incapacitate de munca</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1020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persoanelor in etate</w:t>
            </w:r>
          </w:p>
        </w:tc>
      </w:tr>
      <w:tr w:rsidR="0095500B" w:rsidRPr="0095500B" w:rsidTr="001D2CE3">
        <w:trPr>
          <w:trHeight w:val="68"/>
        </w:trPr>
        <w:tc>
          <w:tcPr>
            <w:tcW w:w="1105" w:type="dxa"/>
            <w:shd w:val="clear" w:color="auto" w:fill="auto"/>
            <w:vAlign w:val="bottom"/>
          </w:tcPr>
          <w:p w:rsidR="0095500B" w:rsidRPr="0095500B" w:rsidRDefault="0095500B" w:rsidP="0095500B">
            <w:pPr>
              <w:rPr>
                <w:rFonts w:eastAsia="Times New Roman"/>
                <w:sz w:val="20"/>
                <w:szCs w:val="20"/>
              </w:rPr>
            </w:pPr>
            <w:r w:rsidRPr="0095500B">
              <w:rPr>
                <w:sz w:val="20"/>
                <w:szCs w:val="20"/>
              </w:rPr>
              <w:t>1040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a familiei si a copiilor</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1050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in caz de somaj</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1060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in domeniul asigurarii cu locuinte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lastRenderedPageBreak/>
              <w:t>1070</w:t>
            </w:r>
          </w:p>
        </w:tc>
        <w:tc>
          <w:tcPr>
            <w:tcW w:w="7173" w:type="dxa"/>
            <w:shd w:val="clear" w:color="auto" w:fill="auto"/>
            <w:vAlign w:val="bottom"/>
          </w:tcPr>
          <w:p w:rsidR="0095500B" w:rsidRPr="0095500B" w:rsidRDefault="0095500B" w:rsidP="0095500B">
            <w:pPr>
              <w:rPr>
                <w:sz w:val="20"/>
                <w:szCs w:val="20"/>
              </w:rPr>
            </w:pPr>
            <w:r w:rsidRPr="0095500B">
              <w:rPr>
                <w:sz w:val="20"/>
                <w:szCs w:val="20"/>
              </w:rPr>
              <w:t>Protectie impotriva excluziunii sociale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1091</w:t>
            </w:r>
          </w:p>
        </w:tc>
        <w:tc>
          <w:tcPr>
            <w:tcW w:w="7173" w:type="dxa"/>
            <w:shd w:val="clear" w:color="auto" w:fill="auto"/>
            <w:vAlign w:val="bottom"/>
          </w:tcPr>
          <w:p w:rsidR="0095500B" w:rsidRPr="0095500B" w:rsidRDefault="0095500B" w:rsidP="0095500B">
            <w:pPr>
              <w:rPr>
                <w:sz w:val="20"/>
                <w:szCs w:val="20"/>
              </w:rPr>
            </w:pPr>
            <w:r w:rsidRPr="0095500B">
              <w:rPr>
                <w:sz w:val="20"/>
                <w:szCs w:val="20"/>
              </w:rPr>
              <w:t>Administrare în domeniul protecţiei sociale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1092</w:t>
            </w:r>
          </w:p>
        </w:tc>
        <w:tc>
          <w:tcPr>
            <w:tcW w:w="7173" w:type="dxa"/>
            <w:shd w:val="clear" w:color="auto" w:fill="auto"/>
            <w:vAlign w:val="bottom"/>
          </w:tcPr>
          <w:p w:rsidR="0095500B" w:rsidRPr="0095500B" w:rsidRDefault="0095500B" w:rsidP="0095500B">
            <w:pPr>
              <w:rPr>
                <w:sz w:val="20"/>
                <w:szCs w:val="20"/>
              </w:rPr>
            </w:pPr>
            <w:r w:rsidRPr="0095500B">
              <w:rPr>
                <w:sz w:val="20"/>
                <w:szCs w:val="20"/>
              </w:rPr>
              <w:t>Administrare în sistemul public de asigurări sociale</w:t>
            </w:r>
          </w:p>
        </w:tc>
      </w:tr>
      <w:tr w:rsidR="0095500B" w:rsidRPr="0095500B" w:rsidTr="001D2CE3">
        <w:trPr>
          <w:trHeight w:val="68"/>
        </w:trPr>
        <w:tc>
          <w:tcPr>
            <w:tcW w:w="1105" w:type="dxa"/>
            <w:shd w:val="clear" w:color="auto" w:fill="auto"/>
            <w:vAlign w:val="bottom"/>
          </w:tcPr>
          <w:p w:rsidR="0095500B" w:rsidRPr="0095500B" w:rsidRDefault="0095500B" w:rsidP="0095500B">
            <w:pPr>
              <w:rPr>
                <w:sz w:val="20"/>
                <w:szCs w:val="20"/>
              </w:rPr>
            </w:pPr>
            <w:r w:rsidRPr="0095500B">
              <w:rPr>
                <w:sz w:val="20"/>
                <w:szCs w:val="20"/>
              </w:rPr>
              <w:t>1099</w:t>
            </w:r>
          </w:p>
        </w:tc>
        <w:tc>
          <w:tcPr>
            <w:tcW w:w="7173" w:type="dxa"/>
            <w:shd w:val="clear" w:color="auto" w:fill="auto"/>
            <w:vAlign w:val="bottom"/>
          </w:tcPr>
          <w:p w:rsidR="0095500B" w:rsidRPr="0095500B" w:rsidRDefault="0095500B" w:rsidP="0095500B">
            <w:pPr>
              <w:rPr>
                <w:sz w:val="20"/>
                <w:szCs w:val="20"/>
              </w:rPr>
            </w:pPr>
            <w:r w:rsidRPr="0095500B">
              <w:rPr>
                <w:sz w:val="20"/>
                <w:szCs w:val="20"/>
              </w:rPr>
              <w:t>Alte servicii de protecție socială</w:t>
            </w:r>
          </w:p>
        </w:tc>
      </w:tr>
    </w:tbl>
    <w:p w:rsidR="00094C6C" w:rsidRDefault="00094C6C" w:rsidP="004E346F"/>
    <w:p w:rsidR="00094C6C" w:rsidRDefault="00094C6C" w:rsidP="004E346F"/>
    <w:p w:rsidR="00094C6C" w:rsidRDefault="00094C6C" w:rsidP="004E346F"/>
    <w:p w:rsidR="00733362" w:rsidRDefault="00733362" w:rsidP="004E346F">
      <w:r>
        <w:br w:type="page"/>
      </w:r>
    </w:p>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311"/>
        <w:gridCol w:w="4073"/>
      </w:tblGrid>
      <w:tr w:rsidR="00733362" w:rsidRPr="009C6550" w:rsidTr="0097469A">
        <w:trPr>
          <w:trHeight w:val="255"/>
        </w:trPr>
        <w:tc>
          <w:tcPr>
            <w:tcW w:w="1105"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lastRenderedPageBreak/>
              <w:t>func2</w:t>
            </w:r>
            <w:r w:rsidR="00134B84">
              <w:rPr>
                <w:rFonts w:eastAsia="Times New Roman"/>
                <w:b/>
                <w:color w:val="000000"/>
                <w:sz w:val="20"/>
                <w:szCs w:val="20"/>
              </w:rPr>
              <w:t>_old</w:t>
            </w:r>
          </w:p>
        </w:tc>
        <w:tc>
          <w:tcPr>
            <w:tcW w:w="4311"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func2</w:t>
            </w:r>
            <w:r w:rsidR="00134B84">
              <w:rPr>
                <w:rFonts w:eastAsia="Times New Roman"/>
                <w:b/>
                <w:color w:val="000000"/>
                <w:sz w:val="20"/>
                <w:szCs w:val="20"/>
              </w:rPr>
              <w:t>_old</w:t>
            </w:r>
            <w:r w:rsidRPr="009C6550">
              <w:rPr>
                <w:rFonts w:eastAsia="Times New Roman"/>
                <w:b/>
                <w:color w:val="000000"/>
                <w:sz w:val="20"/>
                <w:szCs w:val="20"/>
              </w:rPr>
              <w:t>_md</w:t>
            </w:r>
          </w:p>
        </w:tc>
        <w:tc>
          <w:tcPr>
            <w:tcW w:w="4073"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func2_en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de stat cu destinatie generala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General purpose state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Autoritati legislative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Legislative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Autoritati executive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Executive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Activitate financiara, bugetar-fiscala si de control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Financial, budget/taxation and control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de planificare si statistica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Planning and statistics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01.08</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Autoritati si servicii cu destinatie generala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General purpose authorities and services not 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01.10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Activitatea externa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Foreign relations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Colaborare internationala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International cooperation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Realizare a acordurilor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International agreements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Relatii economice, culturale, stiintifice si informationale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International economic, cultural, research and information relations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Misiuni diplomatice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Diplomatic missions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02.10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03.00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Apararea nationala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National defense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03.01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Armata Nationala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National army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03.02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Fortele de mentinere a pacii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Peace-keeping forces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03.10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Justitia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Justice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Autoritatea de jurisdictie constitutionala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Constitutional jurisdiction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Instante judecatoresti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Courts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Procuratura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Attorney General's office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Notariate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Notaries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Autoritati din domeniul justitiei neatribuite la alt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Justice authorities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Executare judecatoreasca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Court decision enforcement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04.10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Mentinerea ordinii publice si securitatea nationala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Enforcement of public order and national security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ale afacerilor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Internal affairs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Trupe de carabinieri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Carabineer troops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Penitenciare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Penitentiaries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ale securitatii 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National security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Protectie civila si situatii exceptionale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Civil protection and emergency situations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Autoritati si servicii de mentinere a ordinii publice si de securitate nationala,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Public order enforcement and national security services and authorities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05.10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prescolar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Preschool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primar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Primary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secundar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Secondary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superior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Higher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postuniversitar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Postgraduate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Cursuri si institutii de perfectionare a cadrelor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Staff training and retraining courses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06.07</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Institutii si activitati in domeniul invatamintului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Education activities and facilities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06.08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Invatamint mediu de specialitate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Secondary vocational education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06.10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Stiinta si inovarea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Research and innovations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Cercetari stiintifice fundamentale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Fundamental research</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Cercetari stiintifice aplicate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Applied research</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Pregatire a cadrelor stiintifice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Training for research staff</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07.04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Institutii si activitati in sfera stiintei si inovarii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Research and innovation activities and facilities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07.10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Cultura, arta, sportul si activitatile pentru tineret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Culture, arts, sports and youth activities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Organizare a odihnei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Recreational events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Activitati in domeniul culturii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Cultural events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Radioteleviziune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TV and radio broadcasting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Presa periodica si edituri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Periodicals and written media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Sport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Sports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Institutii si actvitati in domeniul culturii, artei si sportului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Culture, arts and sports activities and facilities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Activitati pentru tineret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Youth activities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08.10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Ocrotirea sanatatii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Healthcare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Hospitals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Policlinici si centre ale medicilor de familie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Outpatient clinics and primary health care centers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si institutii sanitaro-epidemiologice si de profilaxie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Preventive medicine and prevention services and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Institutii si servicii in domeniul ocrotirii sanatatii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Health care services and facilities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Programe nationale de ocrotire a sanatatii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National health programs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Servicii legate de asigurarea obligatorie de asistenta medicala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Mandatory health insurance linked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09.10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Asigurarea si asistenta sociala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Social care and social insurance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Pensii ale militarilor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Pensions for the military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Pensiile si indemnizatiile viagere ale judecatorilor si procurorilor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Lifelong pensions and allowances of judges and prosecutors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Institutii ale asistentei sociale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Social care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Compensarea pierderilor suportate de intreprinderile din transport in legatura cu acordarea de inlesniri unor categorii de populatie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Compensations for the transportation companies' loss owing to the indemnities granted to certain groups of people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Indexarea esalonata a depunerilor cetatenilor la Banca de Economii S.A.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Phased indexing of citizens' deposits at the Banca de Economii</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10.11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Institutii si servicii in domeniul asigurarii si asistentei sociale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Social care and social insurance services and facilities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10.13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Compensatii si indemnizatii nominative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Nominative compensations and indemnities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10.16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Compensarea diferentei de preturi la combustibil si energie electrica in legatura cu acordarea inlesnirilor unor categorii de populatie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differences of fuel and electricity prices about the facilities granted to certain categories of population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10.18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Subventionare dobinzii si rambursare creditelor bancare preferentiale acordate populatiei si cooperativelor de constructie a locuintelor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Subsidies for the interest and repayment of preferential bank loans granted to population </w:t>
            </w:r>
            <w:r w:rsidRPr="009C6550">
              <w:rPr>
                <w:rFonts w:eastAsia="Times New Roman"/>
                <w:color w:val="000000"/>
                <w:sz w:val="20"/>
                <w:szCs w:val="20"/>
              </w:rPr>
              <w:lastRenderedPageBreak/>
              <w:t>and housing construction cooperative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10.20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Fonduri de sustinere sociala a populatiei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Population social support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10.21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Prestatii sociale si pensii achitate prin bugetul asigurarilor sociale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Social benefits and pensions paid through the state social insurance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10.22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 a diferentei de tarif la resursele energetice livrate consumatorilor casnici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gap in the power tariffs paid by households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10.23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acoperirea deficitului bugetului asigurarilor sociale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recoup the state social insurance budget deficit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proofErr w:type="gramStart"/>
            <w:r w:rsidRPr="00AA70B4">
              <w:rPr>
                <w:rFonts w:eastAsia="Times New Roman"/>
                <w:color w:val="000000"/>
                <w:sz w:val="20"/>
                <w:szCs w:val="20"/>
                <w:lang w:val="fr-FR"/>
              </w:rPr>
              <w:t>Agricultura,gospodaria</w:t>
            </w:r>
            <w:proofErr w:type="gramEnd"/>
            <w:r w:rsidRPr="00AA70B4">
              <w:rPr>
                <w:rFonts w:eastAsia="Times New Roman"/>
                <w:color w:val="000000"/>
                <w:sz w:val="20"/>
                <w:szCs w:val="20"/>
                <w:lang w:val="fr-FR"/>
              </w:rPr>
              <w:t xml:space="preserve"> silvica,gospodaria piscicola si gospodaria apelor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Agriculture, forestry, fishery and water service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Agricultura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Agriculture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Gospodarie silvica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Forestry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Gospodarie piscicola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Fishery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Gospodarie a apelor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Water service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si servicii in domeniul agriculturii, gospodariei silvice, gospodariei piscicole si gospodariei apelor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Agriculture, forestry, fishery and water services and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Protectia mediului si hidrometeorologia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Environment Protection and Hydrometeorology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Protectie a mediului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Environment Protection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Hidrometeorologie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Hydrometeorology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in domeniul protectiei mediului si hidrometeorologiei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Environment protection and hydrometeorology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Industria si constructiile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Industry and Construction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Industrie extractiva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Mining industry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Industrie prelucratoare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Processing industry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Industrie usoara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Light industry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Constructii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Constructions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si servicii in domeniul industriei si constructiilor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Industry and construction services and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Transporturile, gospodaria drumurilor, comunicatiile si informatica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Transports, roads, communications and IT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 auto</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Motor vehicle transportation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 naval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Naval transportation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 feroviar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Railroad transportation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 aerian</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Air transportation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Gospodarie drumurilor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Roads service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Comunicatii si informatica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Communications and IT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si servicii in domeniul transporturilor, gospodariei drumuilor, comunicatiilor si informaticii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Transports, roads, communication and IT services and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14.10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15.00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Gospodaria comunala si gospodaria de exploatare a fondului de locuinte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Utilities and housing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15.01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Gospodarie de exploatare a fondului de locuinte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Housing service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15.02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Gospodarie comunala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Utilities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15.03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Activitate sanitara, inclusiv control asupra poluarii mediului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Health control, including environment pollution control</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15.04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si servicii in domeniul gospodariei comunale si gospodariei de exploatare a fondului de locuinte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Utility and housing services and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15.10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Complexul pentru combustibil si energie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Fuel and energy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Retele de gaze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Natural gas installations/networks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Retele electrice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Power installations/networks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Retele termice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Heating installations/networks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16.04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 si servicii in complexul pentru combustibil si energie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Fuel and power services and activities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16.10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17.00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Serviciul datoriei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State debt servicing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17.01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Serviciul datoriei de stat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Internal state debt servicing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17.03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Serviciu al datoriei de stat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External state debt servicing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Completarea rezervelor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Restoring the state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Tezaur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State Treasury (Exchequer)</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Rezerve materiale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State material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Alte servicii pentru deservirea rezervelor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state reserves servicing actions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servicii legate de activitatea economica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economy-related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Sustinere de stat a micului business</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Small business State support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servicii legate de activitatea economica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economy-related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Organe administrative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Administrative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Activitatile si serviciile neatribuite la alte grupe principale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Services and activities unattributable to any other core groups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Fond de rezerva al Guvernului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Government's reserve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Fonduri de rezerva ale autoritatiilor administratiei publice locale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Local public administration authorities' reserve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bugetele unitatilor administrativ-teritoriale din Fondul de sustinere financiara a teritoriilor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administrative-territorial units (ATU) budgets from the regions financial support fund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 destinatie speciala catre bugetele unitatilor administrativ-teritoriale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to the administrative-territorial units (ATU)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Cheltuieli neatribuite la alte grupe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Costs unattributable to any other group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21.00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21.01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21.02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Investitii capitale pentru conversiune si renovare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for conversion and renovation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21.03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Investitii capitale pentru programul de contorizare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for the metering program</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 a bugetelor de un alt nivel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Lending to another-tier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imprumuturilor de catre bugetele de un alt nivel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by another-tier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 a institutiilor nefinanciare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Lending to non-financial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de catre institutiile</w:t>
            </w:r>
            <w:r w:rsidRPr="009C6550">
              <w:rPr>
                <w:rFonts w:eastAsia="Times New Roman"/>
                <w:color w:val="000000"/>
                <w:sz w:val="20"/>
                <w:szCs w:val="20"/>
              </w:rPr>
              <w:br/>
            </w:r>
            <w:r w:rsidRPr="009C6550">
              <w:rPr>
                <w:rFonts w:eastAsia="Times New Roman"/>
                <w:color w:val="000000"/>
                <w:sz w:val="20"/>
                <w:szCs w:val="20"/>
              </w:rPr>
              <w:br/>
              <w:t>nefinanciare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by non-financial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 a institutiilor 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Lending to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imprumuturilor de catre institutiile 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by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 a altor institutii si organizatii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Lending to other facilities and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23.08</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imprumuturilor de catre alte institutii si organizatii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by other facilities and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Dezafectare a mijloacelor bugetare pentru onorarea garantiilor de stat la imprumuturi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Decommissioning of budget means for servicing the state bonds issued on internal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23.10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Restabilire a mijloacelor dezafectate pentru onorarea garantiilor de stat la imprumuturi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Restoring the decommissioned means to service the state bonds issued on internal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23.11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Restabilire a mijloacelor dezafectate pentru onorarea garantiilor de stat la imprumuturi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Restoring the decommissioned means to service the state bonds issued on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23.13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Recreditare a bugetelor de un alt nivel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Refinancing of another-tier budgets from external sources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23.14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imprumuturilor de catre bugetele de un alt nivel recreditate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by another-tier budgets refinanced from external sources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23.20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Restituire a la buget a mijloacelor neutilizate in anii precedenti, a mijloacelor utilizate contrar destinatiei si/sau a supracheltuielilor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Returning to the budget of means unused during previous years, means not used as per intended purpose and/or over-expenditure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Excedentul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Surplus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Deficitul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Deficit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Sursele interne de finantare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Acordare de imprumuturi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Granting of budget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budget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Imprumuturi acordate de Banca Nationala a Moldovei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Loans provided by the National Bank of Moldova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acordate de Banca Nationala a Moldovei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granted by the National Bank of Moldova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Imprumuturi acordate de alte institutii 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Loans provided by other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acordate de alte institutii financiare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provided by other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imprumuturi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altor imprumuturi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other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 de la vinzarea valorilor mobiliare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Means from the sale of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Rascumparare a valorilor mobiliare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Redemption of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surse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internal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 depuse in banci la conturi depozitare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Means kept in bank deposit accounts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mijloacelor de la conturile depozitare ale bancilor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means kept in bank deposit accounts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altor surse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other internal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Diferenta intre cursul de schimb al surselor valutare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Exchange currency margin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Acordare a imprumuturilor bugetare recreditate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Provision of budget loans refinanced with external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bugetare recreditate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budget loans refinanced with external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27.18</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 de la vinzarea valorilor mobiliare de stat convertite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Funds from the sale of converted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Cheltuieli pentru rascumpararea valorilor mobiliare de stat convertite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Spending to redeem the converted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27.20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Rascumparare a valorilor mobiliare de stat emisie pentru majorarea capitalului statutar/acoperirea soldului debitor al fondului general de rezerva al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Spending to redeem the government securities issued to increase the statutory capital / cover the debt balance of the general reserves fund of the National Bank of Moldova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Sursele externe de finantare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External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28.01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Imprumuturi acordate de alte state si de organizatii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Loans granted by other countries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imprumuturilor acordate de alte state si de organizatii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granted by other countries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Imprumuturi acordate de organizatii financiare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Loans granted by international finance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imprumuturilor acordate de organizatiile financiare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loans granted by international finance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imprumuturi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Rambursare a altor imprumuturi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other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Dezafectare a mijloacelor bugetare pentru onorarea garantiilor de stat pentru imprumuturile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Decommissioning of budget funds to service the government bonds issued on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28.09</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Alte surse externe de finantare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external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28.10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Rambursare a altor surse externe de finantare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Repayment of other external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28.11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Debursari pentru perioade ulterioare pentru proiecte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For subsequent disbursement period for projects financed from external sources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28.12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la conturile proiectelor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accounts of projects financed from external sources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Mijloacele din vinzarea si privatizarea bunurilor proprietate publica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sale and privatization of publicly owned goods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din privatizarea bunurilor proprietate publica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privatization of publicly owned goods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din vinzarea apartamentelor catre cetateni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sale of apartments by citizens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din vinzarea bunurilor proprietate publica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sale of publicly owned goods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 din vinzarea pachetelor de actiuni si/sau partilor sociale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sale of shares and/or social capital</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din vinzarea incaperilor nelocuibile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sale of uninhabited premises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29.07</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banesti din privatizarea terenurilor proprietate publica a statului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privatization of the government' publicly owned lands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banesti din privatizarea terenurilor proprietate publica a unitatilor administrativ-teritoriale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the privatization of the administrative-territorial units (ATU)' publicly owned lands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29.09</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din privatizare conform unor proiecte individuale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Proceeds from privatization as per individual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Defalcari de 20% din mijloacele banesti obtinute din privatizarea terenurilor proprietate publica pentru realizarea programului de valorificare a tere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Deductions in the amount of 20% from the proceeds accrued from the privatization of publicly owned lands to carry out the new lands use program and the soil fertility enhancement program</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40.00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Soldurile disponibile la conturile bugetare si extrabugetare la sfirsitul perioadei gestionare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Balances available at the end of extra-budgetary accounts and administration period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43.00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Contributiile fiscale ale agentilor economici amplasati in  localitatile din stinga Nistrului si in mun.Bender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Tax contributions of economic agents located in the village on the left bank and mun.Bender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44.00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intrate temporar in posesia institutiilor finantate de la buget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Means temporarily entering into possession of institutions financed from the budget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45.00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 umanitare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Humanitarian aid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46.00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Plati - garantie de la drepturile de impor-export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Payment - Guarantee the rights of imports and exports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47.00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Drepturi de export-import achitate in avans</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Export-import duties paid in advance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48.00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Mijloacele aferente Fondului Republican si local pentru sustinerea sociala a populatiei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Republican Fund and local resources related to social support of population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49.00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Alte incasari ale bugetului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Other revenues of the state budget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70.00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Depasirea veniturilor asupra cheltuielilor ce urmeaza a fi transferata la veniturile de baza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Coping revenues over expenditures to be transferred to the revenue base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Soldul la inceputul perioadei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Balance at the beginning of the period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Mijloacele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Budgetary resources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Ajutoarele umanitare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Humanitarian aid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Contributiile fiscale ale agentilor economici amplasati in  localitatile din stinga Nistrului si in mun.Bender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Tax contributions of economic agents located in the village on the left bank and mun.Bender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intrate temporar in posesia institutiilor finantate de la buget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Means temporarily entering into possession of institutions financed from the budget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Plati - garantie de la drepturile de impor-export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Payment - Guarantee the rights of imports and exports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Drepturi de export-import achitate in avans</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Export-import duties paid in advance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75.07</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Mijloacele aferente Fondului Republican si local pentru sustinerea sociala a populatiei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Republican Fund and local resources related to social support of population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75.08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mijloace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Other budgetary means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Soldul la sfirsitul perioadei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Balance at the end of the period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Mijloacele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Budgetary resources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Ajutoarele umanitare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Humanitarian aid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Contributiile fiscale ale agentilor economici amplasati in  localitatile din stinga Nistrului si in mun.Bender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Tax contributions of economic agents located in the village on the left bank and mun.Bender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Mijloace intrate temporar in posesia institutiilor finantate de la buget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Means temporarily entering into possession of institutions financed from the budget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Plati - garantie de la drepturile de impor-export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Payment - Guarantee the rights of imports and exports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Drepturi de export-import achitate in avans</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Export-import duties paid in advance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76.07</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Mijloacele aferente Fondului Republican si local pentru sustinerea sociala a populatiei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Republican Fund and local resources related to social support of population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76.08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mijloace bugetare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Other budgetary means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77.00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Sumele in drum</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Amounts in transition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78.00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Mijloace depozitate destinate achitarii platitor externe creditorilor bilaterali membrii ai clubului de la Paris</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Means deposited for payment to foreign creditors in the Paris Club</w:t>
            </w:r>
          </w:p>
        </w:tc>
      </w:tr>
    </w:tbl>
    <w:p w:rsidR="00733362" w:rsidRDefault="00733362" w:rsidP="004E346F">
      <w:r>
        <w:br w:type="page"/>
      </w:r>
    </w:p>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311"/>
        <w:gridCol w:w="4073"/>
      </w:tblGrid>
      <w:tr w:rsidR="00733362" w:rsidRPr="009C6550" w:rsidTr="0097469A">
        <w:trPr>
          <w:trHeight w:val="255"/>
        </w:trPr>
        <w:tc>
          <w:tcPr>
            <w:tcW w:w="1105"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lastRenderedPageBreak/>
              <w:t>econ1</w:t>
            </w:r>
            <w:r w:rsidR="00134B84">
              <w:rPr>
                <w:rFonts w:eastAsia="Times New Roman"/>
                <w:b/>
                <w:color w:val="000000"/>
                <w:sz w:val="20"/>
                <w:szCs w:val="20"/>
              </w:rPr>
              <w:t>_old</w:t>
            </w:r>
          </w:p>
        </w:tc>
        <w:tc>
          <w:tcPr>
            <w:tcW w:w="4311"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econ1</w:t>
            </w:r>
            <w:r w:rsidR="00134B84">
              <w:rPr>
                <w:rFonts w:eastAsia="Times New Roman"/>
                <w:b/>
                <w:color w:val="000000"/>
                <w:sz w:val="20"/>
                <w:szCs w:val="20"/>
              </w:rPr>
              <w:t>_old</w:t>
            </w:r>
            <w:r w:rsidRPr="009C6550">
              <w:rPr>
                <w:rFonts w:eastAsia="Times New Roman"/>
                <w:b/>
                <w:color w:val="000000"/>
                <w:sz w:val="20"/>
                <w:szCs w:val="20"/>
              </w:rPr>
              <w:t>_md</w:t>
            </w:r>
          </w:p>
        </w:tc>
        <w:tc>
          <w:tcPr>
            <w:tcW w:w="4073"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econ1_en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Cheltuieli curente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Cheltuieli pentru marfuri si servicii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Costs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Retribuirea muncii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Remuneration of work</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Contributii de asigurari sociale de stat obligatorii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Mandatory state social insurance premiums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Plata marfurilor si serviciilor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114</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Deplasari in interes de serviciu</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Duty travels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115</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Emisia si vinzarea valorilor mobiliare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Issuance and sale of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116</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Prime de asigurare obligatorie de asistenta medicala achitate de patroni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Employer's share of the mandatory health insurance premiums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117</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Prime de asigurare obligatorie de asistenta medicala achitate de Guvern</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Mandatory health insurance premiums payable by the Government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Plata dobinzilor</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interne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internal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de catre autoritati ale administratiei publice de alt nivel</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by another-tier public administration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Plati aferente obligatiunilor fata de institutiile financiare internationale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on the commitments owed to international finance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produse si servicii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scopuri de productie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production purposes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catre bugetele de alt nivel si intre componentele bugetului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another-tier budgets and across budget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institutiile financiare si alte organizatii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financial facilities and other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populatie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population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136</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peste hotare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137</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fondul de risc</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risk fund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bugetul asigurarilor sociale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state social insurance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curente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curente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pentru implementarea proiectelor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pentru implementarea proiectelor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Cheltuieli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Investitii capitale si reparatii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and capital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mijloacelor fixe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fixed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rezervelor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rezervelor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tezaurului de stat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exchequer (treasury)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260</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Procurarea de pamint si de active nemateriale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land and intangible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pamint</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land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active nemateriale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intangible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interiorul tarii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within country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272</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peste hotare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w:t>
            </w:r>
          </w:p>
        </w:tc>
        <w:tc>
          <w:tcPr>
            <w:tcW w:w="4311" w:type="dxa"/>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catre bugetele de alt nivel si intre componentele bugetului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another-tier budgets and between the budget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capitale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implementarea proiectelor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implementarea proiectelor finantate din surse externe</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511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600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610</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w:t>
            </w:r>
          </w:p>
        </w:tc>
        <w:tc>
          <w:tcPr>
            <w:tcW w:w="4311"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bl>
    <w:p w:rsidR="00733362" w:rsidRDefault="00733362" w:rsidP="004E346F">
      <w:r>
        <w:br w:type="page"/>
      </w:r>
    </w:p>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367"/>
        <w:gridCol w:w="3944"/>
        <w:gridCol w:w="792"/>
        <w:gridCol w:w="3281"/>
      </w:tblGrid>
      <w:tr w:rsidR="00733362" w:rsidRPr="009C6550" w:rsidTr="0097469A">
        <w:trPr>
          <w:trHeight w:val="255"/>
        </w:trPr>
        <w:tc>
          <w:tcPr>
            <w:tcW w:w="1105" w:type="dxa"/>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lastRenderedPageBreak/>
              <w:t>econ2</w:t>
            </w:r>
            <w:r w:rsidR="0012378A">
              <w:rPr>
                <w:rFonts w:eastAsia="Times New Roman"/>
                <w:b/>
                <w:color w:val="000000"/>
                <w:sz w:val="20"/>
                <w:szCs w:val="20"/>
              </w:rPr>
              <w:t>_old</w:t>
            </w:r>
          </w:p>
        </w:tc>
        <w:tc>
          <w:tcPr>
            <w:tcW w:w="4311" w:type="dxa"/>
            <w:gridSpan w:val="2"/>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econ2</w:t>
            </w:r>
            <w:r w:rsidR="0012378A">
              <w:rPr>
                <w:rFonts w:eastAsia="Times New Roman"/>
                <w:b/>
                <w:color w:val="000000"/>
                <w:sz w:val="20"/>
                <w:szCs w:val="20"/>
              </w:rPr>
              <w:t>_old</w:t>
            </w:r>
            <w:r w:rsidRPr="009C6550">
              <w:rPr>
                <w:rFonts w:eastAsia="Times New Roman"/>
                <w:b/>
                <w:color w:val="000000"/>
                <w:sz w:val="20"/>
                <w:szCs w:val="20"/>
              </w:rPr>
              <w:t>_md</w:t>
            </w:r>
          </w:p>
        </w:tc>
        <w:tc>
          <w:tcPr>
            <w:tcW w:w="4073" w:type="dxa"/>
            <w:gridSpan w:val="2"/>
            <w:shd w:val="clear" w:color="auto" w:fill="BFBFBF" w:themeFill="background1" w:themeFillShade="BF"/>
            <w:hideMark/>
          </w:tcPr>
          <w:p w:rsidR="00733362" w:rsidRPr="009C6550" w:rsidRDefault="00733362" w:rsidP="004E346F">
            <w:pPr>
              <w:rPr>
                <w:rFonts w:eastAsia="Times New Roman"/>
                <w:b/>
                <w:color w:val="000000"/>
                <w:sz w:val="20"/>
                <w:szCs w:val="20"/>
              </w:rPr>
            </w:pPr>
            <w:r w:rsidRPr="009C6550">
              <w:rPr>
                <w:rFonts w:eastAsia="Times New Roman"/>
                <w:b/>
                <w:color w:val="000000"/>
                <w:sz w:val="20"/>
                <w:szCs w:val="20"/>
              </w:rPr>
              <w:t>econ2_en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100.00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Cheltuieli curente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110.00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Cheltuieli pentru marfuri si servicii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Costs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Retribuirea muncii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Remuneration of work</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Salariul functiei (tarif de functie)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Full-time employee (FTE) salary (post tariff)</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Sporuri la salariul functiei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Add-on to the FTE salary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Retribuirea complementara la salariul functiei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additional to the FTE salary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Salarizarea lucratorilor netitulari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Part-time employee (PTE) payroll</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Solda militarilor, suplimentele si sporurile la ea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Payments, add-ons and raises paid to the military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Ajutor material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Material support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Premieri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Bonuses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plati banesti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cash payments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111.09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Majorarile conform deciziilor autoritatilor locale abilitate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Raises following the decisions of entitled local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111.99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U z i n t e r n (concediale)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 z i n t e r n (dismissal)</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112.00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Contributii de asigurari sociale de stat obligatorii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Mandatory state social insurance premiums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Plata marfurilor si serviciilor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Energia electrica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Power (electricity)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Gaze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Natural gases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 xml:space="preserve">Rechizite de </w:t>
            </w:r>
            <w:proofErr w:type="gramStart"/>
            <w:r w:rsidRPr="00AA70B4">
              <w:rPr>
                <w:rFonts w:eastAsia="Times New Roman"/>
                <w:color w:val="000000"/>
                <w:sz w:val="20"/>
                <w:szCs w:val="20"/>
                <w:lang w:val="fr-FR"/>
              </w:rPr>
              <w:t>birou,materiale</w:t>
            </w:r>
            <w:proofErr w:type="gramEnd"/>
            <w:r w:rsidRPr="00AA70B4">
              <w:rPr>
                <w:rFonts w:eastAsia="Times New Roman"/>
                <w:color w:val="000000"/>
                <w:sz w:val="20"/>
                <w:szCs w:val="20"/>
                <w:lang w:val="fr-FR"/>
              </w:rPr>
              <w:t xml:space="preserve"> si obiecte de uz gospodaresc</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Office supplies, utensils and household goods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Energia termica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Heating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Manuale, materiale didactice, practica pedagogica si de specialitate a elevilor si studentilor, literatura tehnico-stiintifica si metodica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Manuals, teaching aids/materials, teaching and specialty internships for pupils and students, methodological and technical/research literature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Carti si editii periodice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Books and periodicals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Utilaj si inventar special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equipment and gear/inventory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113.09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Alimentatie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Nutrition/food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Medicamente si consumabile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Drugs and consumables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de telecomunicatie si de posta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Telecommunication and mail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Lucrari de cercetari stiintifice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Research papers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Servicii de transport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Transportation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Inventar moale si echipament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Soft inventory and equipment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Hrana animalelor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Fodder</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de cercetare in domeniul stiintei si inovarii efectuate prin contract de catre institutiile la autogestiune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Research and innovation services contracted out by self-finance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Reparatii curente ale cladirilor si incaperilor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refurbishment of premises and buildings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Reparatii curente ale utilajului si inventarului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repair of equipment and inventory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113.19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Arendarea bunurilor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Rent-out of goods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Simboluri de stat si locale, semne de distinctie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Use of government and local insignia/symbols, state distinction signs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Formare profesionala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Trainings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Servicii editoriale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Printing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Cheltuieli de protocol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Representation costs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Editii periodice departamentale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Departmental periodicals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Combustibil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Fuel</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si instalarea contoarelor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and installation of meters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113.28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Amenzi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Fines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113.29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Paza interdepartamentala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Cross-department security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Lucrari de informatica si de calcul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IT and PC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Serviciile avocatilor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Legal / attorney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Amestecuri din lapte pentru copii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Milk formula for infants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Protezare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Prosthetics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Apa si canalizare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Water supply and sewer</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Salubritate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Hygiene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Compensatia baneasca in schimbul ratiei alimentare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Cash compensation for food ration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Arendarea circuitelor si emitatoarelor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Rent of circuits and transmitters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Compensatia pentru cheltuielile de transport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transport costs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113.39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Compensatia cheltuielilor pentru chiria spatiului locativ</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accommodation costs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113.40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Bilete de tratament sanatorial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Referrals to spa therapy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113.45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Marfuri si servicii neatribuite altor alineate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Goods and services unattributable to any other items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113.50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Documente executorii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Enforcement papers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114.00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Deplasari in interes de serviciu</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Duty travels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114.01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Deplasari in interiorul tarii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Travels within the country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114.02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Deplasari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Travels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114.03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Indemnizatiile personalului misiunilor diplomatice si celor speciale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Indemnities payable to diplomatic mission members and to special missions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115.00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Emisia si vinzarea valorilor mobiliare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Issuance and sale of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116.00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Prime de asigurare obligatorie de asistenta medicala achitate de patroni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Employer's share of the mandatory health insurance premiums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116.01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Prime de asigurare obligatorie de asistenta medicala achitate de patroni in interiorul tarii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Employer's share of the mandatory health insurance premiums payable in the country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116.02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Prime de asigurare medicala achitate de patroni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Employer's share of the mandatory health insurance premiums payable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117.00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Prime de asigurare obligatorie de asistenta medicala achitate de Guvern</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Mandatory health insurance premiums payable by the Government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Plata dobinzilor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interne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internal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acordate de Banca Nationala a Moldovei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the loans granted by the National Bank of Moldova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acordate de Banca Nationala a Moldovei cu garantia valorilor mobiliare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the loans granted by the National Bank of Moldova pledged against government securities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sub forma de valori mobiliare de stat emise prin licitatii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government securities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acordate de bancile comerciale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Payment of interest on commercial bank loans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alte imprumuturi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other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sub forma de valori mobiliare de stat convertite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the converted government securities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121.07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sub forma de valori mobiliare de stat emise pentru majorarea capitalului statutar / acoperirea soldului debitor  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the government securities loans issued to increase the statutory capital / cover the debt balance of the general reserves fund of the National Bank of Moldova</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121.08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sub forma de valori mobiliare de stat emise in forma materializata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the government securities loans issued in a materialized form</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122.00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la imprumuturile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on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123.00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dobinzilor de catre autoritati ale administratiei publice de alt nivel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interest by another-tier public administration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124.00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Plati aferente obligatiunilor fata de institutiile financiare internationale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on the commitments owed to international finance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produse si servicii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acoperirea diferentelor de pret si tarif</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cover the price-tariff gap</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acoperirea pierderilor suferite prin acordarea de inlesniri la transport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recoup the loss incurred following the provision of transport indemnities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acoperirea diferentei de pret la carbunele realizat unor categorii de populatie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recoup the price difference for the charcoal sold to certain population groups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acoperirea diferentei de pret la gazul realizat unor categorii de populatie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recoup the price difference for the natural gas sold to certain population groups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amenajarea teritoriilor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land development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compensarea veniturilor ratate in urma acordarii de inlesniri la plata pentru energia electrica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compensate for the income loss as a result of power price discounts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compensari la lapte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milk compensations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131.09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Alte transferuri pentru produse si servicii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transfers for goods and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scopuri de productie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production purposes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irigarea paminturilor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land irrigation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intretinerea si reparatia drumurilor publice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road maintenance and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sustinerea sectorului agrar, neatribuite la alte alineate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support agriculture unattributable to any other items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sustinerea cinematografiei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support cinematography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sustinerea uniunilor de creatie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support creation unions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sustinerea redactiilor ziarelor si revistelor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support newspaper and magazine editorials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transportarea si ajustarea griului alimentar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transportation and food wheat adjustment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evaluarea si reevaluarea bunurilor imobiliare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real estate valuation and revaluation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132.09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Alte transferuri in scopuri de productie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transfers for production purposes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sustinerea gospodariilor taranesti (de fermier)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support individual households (farms)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intretinerea si reparatia drumurilor publice locale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local public road maintenance and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servicii de sanatate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health care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promovarea exportului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export promotion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realizarea masurilor de conservare a energiei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taking power conservation measures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132.15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subventionarea lucrarilor agricole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subsidize farming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catre bugetele de alt nivel si intre componentele bugetului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another-tier budgets and across budget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133.01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din fondul de sustinere financiara a teritoriilor al bugetului de stat catre bugetele de nivelul al doilea si bugetul municipal Balti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from the state budget fund for the financial support of regions to the second-tier budgets and the municipality of Balti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 destinatie speciala de la bugetul de stat catre bugetele de nivelul al doilea si bugetul municipal Balti, conform legii bugetului de st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from the state budget to the second-tier budgets and to the budget of the municipality of Balti, pursuant to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catre bugete de alt nivel pentru plata salariilor si contributiilor la bugetul asigurarilor sociale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another-tier budgets for payroll and social insurance budget premium payouts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 destinatie speciala de la bugetul de stat catre bugetele de nivelul al doilea si bugetul municipal Balti, conform altor acte legislativ</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from the state budget to the second-tier budgets and to the budget of the Municipality of Balti, pursuant to the normative and legislative papers other than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catre bugete de alt nivel pentru resurse energetice - plati curente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Transfer to another-tier budgets for energy resources - current payments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intre componentele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between the components of the state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intre componentele bugetelor unitatilor administrativ-teritoriale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between the components of administrative-territorial units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din fondul de sustinere financiara a teritoriilor al bugetelor de nivelul al doilea si bugetului municipal Balti catre bugetele de nivelul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from the fund for the financial support of regions under the second-tier budgets and the budget of the municipality of Balti to first-tier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133.09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din fondul de sustinere financiara a teritoriilor al bugetelor de nivelul al doilea si bugetului municipal Balti catre bugetul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from the fund for the financial support of regions under the second-tier budgets and the budget of the municipality of Balti to the state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fondul de sustinere financiara a teritoriilor al bugetelor de nivelul al doilea si bugetului municipal Balti de la bugetele de nivelul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fund for the financial support of regions under the second-tier budgets and the budget of the municipality of Balti from the first-tier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 destinatie speciala de la bugetele de nivelul al doilea si bugetul municipal Balti catre bugetele de nivelul intii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from the second-tier budgets and from the budget of the municipality of Balti to the first-tier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 destinatie speciala de la bugetele de nivelul al doilea si bugetul municipal Balti catre bugetul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from the second-tier budgets and from the budget of the municipality of Balti to the state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 destinatie speciala de la bugetele de nivelul intii catre bugetele de nivelul al doilea si bugetul municipal Balti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Special purpose transfers from the first-tier budgets to the second-tier budgets and to the budget of the municipality of Balti</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intre componentele bugetului de stat si componentele bugetelor unitatilor administrativ-teritoriale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between components of the state budget and budgets of the administrative-territorial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133.15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de la mijloacele speciale ale institutiilor publice finantate de la buget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from the special means of the budget-financed public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and the state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and the state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 interiorul componentei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within the state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133.24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mijloace speciale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state budget special means and special funds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 interiorul componentei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within the state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 interiorul componentei proiecte finantate din surse externe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within the state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133.27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proiecte finantate din surse externe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and the state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fonduri speciale ale bugetului de stat si componenta mijloace speciale ale bugetelor de nivelul I si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state budget special funds component and the first- and second-tier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fonduri speciale ale bugetului de stat si componenta fonduri speciale  ale bugetelor de nivelul I si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state budget special funds component and the first- and second-tier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proiecte finantate din surse externe ale bugetului de stat si componenta proiecte finantate din surse externe 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state budget externally-funded projects component and the fist- and second-tier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a bugetelor de nivelul I si II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of the first- and second-tier budgets and the state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a bugetelor de nivelul I si II si componenta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 and second-tier budget core component and the state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fonduri speciale a bugetului de stat si bugetul asigurarilor sociale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state budget special funds component and the state social insurance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133.37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Transferuri curente intre componenta mijloace speciale ale bugetului de stat si componenta mijloace speciale ale bugetelor unitatilor admnistrativ-teritoriale </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Current transfers between the special means component of the state budget and the special means component of budgets of territorial administrative units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intre componenta de baza a bugetelor de nivelul II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core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a bugetelor de nivelul II si componenta proiecte finantate din surse externe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core component and the first-tier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mijloace speciale ale bugetelor de nivelul II si componenta proiecte finantate din surse externe ale bugetelor de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Current transfers between the second-tier budget special means component and the first-tier budget externally-funded projects component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intre componenta fonduri speciale ale bugetelor de nivelul II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special funds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intre componenta mijloace speciale ale  bugetelor de nivelul I si componenta mijloace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special means component and the second-tier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133.46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a bugetelor de nivelul I si componenta de baza a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core component and the second-tier budget core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133.61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proiecte finantate din surse externe ale bugetului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and the first-tier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133.62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mijloace speciale ale bugetului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core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133.63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mijloace speciale si componenta proiecte finantate din surse externe ale bugetului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special means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133.71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fonduri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core component and the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133.72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mijloace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core and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133.73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proiecte finantate din surse externe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core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133.74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mijloace speciale si componenta fonduri speciale ale bugetului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special means and special funds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133.76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mijloace speciale si componenta proiecte finantate din surse externe ale bugetului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second-tier budget special means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133.81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componentele de baza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core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133.82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intre componenta de baza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core and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133.83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curente intre componenta de baza si componenta proiecte finantate din surse externe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core component and the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133.84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intre componentele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between the first-tier budget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institutiile financiare si alte organizatii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financial facilities and other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catre companiile de asigurari pentru asigurarea personala de stat obligatorie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insurance companies providing individual mandatory state insurance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134.06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fondurile republican si locale de sustinere sociala a populatiei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national and local population social support funds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in legatura cu asigurarea riscurilor in agricultura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insure against agriculture risks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134.09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transferuri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transfers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134.10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subventionarea dobinzilor la creditele preferentiale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subsidize the interest rates on preferential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134.11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rambursarea creditelor preferetiale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repay the preferential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populatie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population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Pensii si indemnizatii viagere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Lifetime pensions and indemnities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Alocatiillunare de stat invalizilor de razboi, participantilor la cel de-al doilea razboi mondial si familiilor 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Monthly state allocations to the war veterans with disabilities, participants to the WWII and their families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Suplimente la pensiile invalizilor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Add-ons to the disability pensions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135.04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Compensarea averii persoanelor represate si ulterior reabilitate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property of people subjected to repressions and subsequently acquitted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Compensarea unica membrilor familiilor persoanelor reabilitate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 xml:space="preserve">One-off compensations to the family members of acquitted people </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instruirea elevilor si pregatirea cadrelor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student training and staff training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Burse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Scholarships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135.08</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indexarea esalonata a depunerilor cetatenilor la Banca de Economii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the phased indexation of citizen deposits at the Banca de Economii</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135.09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pentru indexarea primelor de asigurare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the indexing of insurance premiums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chiriei si serviciilor comunale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Payment of house rent and utilities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Ajutor acordat populatiei care a suferit in urma calamitatilor naturale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Support for people affected by natural disasters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Burse pentru studentii de peste hotarele republicii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Scholarships for students studying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Compensarea costului biletelor de calatorie pentru elevi si studenti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travel costs incurred by pupils and students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reparatia mijloacelor de transport pentru invalizi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the repair of transport means for the disabled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in fondul invatamintului general si asigurarii sociale a elevilor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general education fund and the student social insurance fund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procurarea mijloacelor de transport pentru invalizi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for the purchase of transport means for the disabled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Compensarea cheltuielilor de transport invalizilor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transport costs incurred by the disabled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135.19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Compensatii nominative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Nominative compensations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Ajutoare unice populatiei acordate de catre autoritatile publice centrale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One-off financial aids granted to population by the central public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 unice populatiei conform deciziilor autoritatilor administratiei publice locale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One-off financial aids granted to population pursuant to the decisions taken by local public administration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Servicii bancare si postale de distribuire a platilor catre populatie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Banking and mail services to deliver payments to population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Indemnizatii familiilor bolnavilor de tuberculoza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Indemnities for families with TB patients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Compensatia cheltuielilor pentru calatorie cu tranportul in cadrul tarilor-membre a CSI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travel costs within the CIS member states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transferuri catre populatie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transfers made to population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 banesti refugiatilor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Cash aids paid to refugees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Compensarea cheltuielilor legate de organizarea funerariilor veteranilor si invalizilor de razboi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costs incurred when organizing funerals for the war veterans and disabled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Compensatia baneasca in schimbul biletelor de tratament sanatorial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Cash compensation in exchange for spa treatment passes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135.29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Compensatii pentru procurarea(constructia) locuintelor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 for the purchase (construction) of housing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135.30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Compensatii pentru chirie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Rent compensations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136.00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136.01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catre guvernele si organizatiile internationale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international governments and organizations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136.02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Plata cotizatiei de membru al C.S.I.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CIS membership fees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136.03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transferuri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transfers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137.00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in fondul de risc</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risk fund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138.00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bugetul asigurarilor sociale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state social insurance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Pensions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Alocatii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Allocations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Indemnizatii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Indemnities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Compensations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Ajutoare banesti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Cash aids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138.17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Servicii bancare si postale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Banking and mail services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138.25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plati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payments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curente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181.00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curente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current expenditure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pentru implementarea proiectelor finantate din surse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curente pentru implementarea proiectelor finantate din surse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Current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Contributia Guvernului si autoritatilor publice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Contributions from the Government and public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Contributia din granturi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Contributions from external grants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191.03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Contributia din credite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Contributions from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200.00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Cheltuieli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240.00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Investitii capitale si reparatii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and capital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locuintelor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housing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Investitii capitale in constructia obiectelor de productie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production buildings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obiectelor social-culturale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social/culture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cladirilor administrative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administrative buildings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obiectelor comunale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utility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conductelor de gaz</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gas main / pipes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constructia altor obiecte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the construction of other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241.10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Investitii capitale in plantatii multianule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investments in perennial plantations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242.00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mijloacelor fixe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fixed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repair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Reparatia capitala a fondului de locuinte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housing premises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Reparatia capitala a obiectelor de productie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production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Reparatia capitala a obiectelor social-culturale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social/culture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Reparatia capitala a cladirilor administrative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administrative buildings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Reparatia capitala a mijloacelor de transport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transportation units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243.06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Reparatia capitala a altor obiecte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refurbishment of other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rezervelor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rezervelor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reserves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252.00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Crearea tezaurului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Establishment of state exchequer (treasury)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260.00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Procurarea de pamint si de active nemateriale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land and intangible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261.00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pamint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land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262.00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active nemateriale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intangible assets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interiorul tarii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within country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catre intreprinderile cu capital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state-owned companies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catre institutiile financiare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la fondul rutier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the roads service</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 xml:space="preserve">Transferuri capitale pentru sustinerea sectorului </w:t>
            </w:r>
            <w:proofErr w:type="gramStart"/>
            <w:r w:rsidRPr="00AA70B4">
              <w:rPr>
                <w:rFonts w:eastAsia="Times New Roman"/>
                <w:color w:val="000000"/>
                <w:sz w:val="20"/>
                <w:szCs w:val="20"/>
                <w:lang w:val="fr-FR"/>
              </w:rPr>
              <w:t>agrar,neatribute</w:t>
            </w:r>
            <w:proofErr w:type="gramEnd"/>
            <w:r w:rsidRPr="00AA70B4">
              <w:rPr>
                <w:rFonts w:eastAsia="Times New Roman"/>
                <w:color w:val="000000"/>
                <w:sz w:val="20"/>
                <w:szCs w:val="20"/>
                <w:lang w:val="fr-FR"/>
              </w:rPr>
              <w:t xml:space="preserve"> la alte alineate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support agriculture unattributable to any other items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lucrarile topografogeodezice, de cartografie si cadastru</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topographic/geodesy, mapping and cadastre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prospectiuni geologice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geological surveying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271.09</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proiectare tipica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typical planning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amenajarea teritoriilor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land development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masurile antierozionale, de restabilire a fertilitatii solurilor</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erosion control and soil fertility recovery measures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sustinerea viticulturii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support wine-growing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sustinerea pomiculturii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support fruit trees industry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lucrarile reformei funciare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the land reform works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transferuri de capital in interiorul tarii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capital transfers within the country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pentru dezvoltarea ramurii tutunului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Transfers to develop tobacco industry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irigarea mica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small-scale irrigation</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sustinerea sectorului zootehnic</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support animal husbandry</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271.19</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procurarea tehnicii si utilajului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purchase equipment and appliances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272.00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peste hotare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abroad</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273.00</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catre bugetele de alt nivel si intre componentele bugetului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another-tier budgets and between the budget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constructii, conform legii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in constructions pursuant to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procurarea utilajului si obiectelor de folosinta indelungata, atribuite la fonduri fixe, conform legii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the purchase of heavy-duty equipment and supplies attributable to fixed assets pursuant to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reparatii capitale, conform legii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capital repair works pursuant to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constructii, conform altor acte legislative si normative decit legea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in constructions pursuant to the normative and legislative papers other than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reparatii capitale, conform altor acte legislative si normative decit legea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capital repair works pursuant to normative and legislative papers other than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273.06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pentru procurarea utilajului si obiectelor de folosinta indelungata, atribuite la fonduri fixe, conform altor acte legislative si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for the purchase of heavy-duty equipment and supplies attributable to fixed assets pursuant to normative and legislative papers other than the state budget law</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core component and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core component and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interiorul componentei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within the state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273.24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mijloace speciale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special means component and special fund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interiorul componentei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within the state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 interiorul componentei proiecte finantate din surse externe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within the state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273.27</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proiecte finantate din surse externe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core component and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273.31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fonduri speciale ale bugetului de stat si componenta mijloace speciale ale bugetelor de nivelul I si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special funds component and the first- and second-tier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273.32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fonduri speciale ale bugetului de stat si componenta fonduri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special funds component and the second-tier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273.33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proiecte finantate din surse externe ale bugetului de stat si componenta proiecte finantate din surse externe al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state budget externally-funded projects component and the first- and second-tier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273.34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a bugetelor de nivelul I si II si componenta fonduri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 and second-tier budget core component and the state budget special funds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273.35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a bugetelor de nivelul I si II si componenta mijloace speciale ale bugetului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 and second-tier budget core component and the state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componenta de baza a bugetelor de nivelul II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core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a bugetelor de nivelul II si componenta proiecte finantate din surse externe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core component and the first-tier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componenta mijloace speciale ale bugetelor de nivelul II si componenta proiecte finantate din surse externe ale bugetelor d</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special means component and the first-tier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componenta fonduri speciale ale bugetelor de nivelul II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special funds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273.45</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componenta mijloace speciale ale  bugetelor de nivelul I si componenta mijloace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special means component and the second-tier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273.46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a bugetelor de nivelul I si componenta de baza a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core component and the second-tier budget core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273.61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proiecte finantate din surse externe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core component and the first-tier budget externally-funded projects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273.62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mijloace speciale ale bugetului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core component and the first-tier budget special means component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273.63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mijloace speciale si componenta proiecte finantate din surse externe ale bugetului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special means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lastRenderedPageBreak/>
              <w:t>273.71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fonduri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core and  special funds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273.72</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mijloace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core and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273.73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proiecte finantate din surse externe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core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273.74</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mijloace speciale si componenta fonduri speciale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special means and special funds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273.76</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mijloace speciale si componenta proiecte finantate din surse externe ale bugetelor de nivelul 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second-tier budget special means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273.81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componentele de baza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core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273.82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componenta de baza si componenta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core and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273.83</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Transferuri capitale intre componenta de baza si componenta proiecte finantate din surse externe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core and externally-funded projects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273.84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intre componentele mijloace speciale ale bugetelor de nivelul 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between the first-tier budget special means components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281.00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Alte cheltuieli capitale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Other capital spending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implementarea proiectelor finantate din surse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Transferuri capitale pentru implementarea proiectelor finantate din surse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Capital transfers to implement the externally-funded projects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291.01</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Contributia Guvernului si autoritatilor publice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Share of Government and public authorities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Contributia din granturi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Share of external grants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291.03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Contributia din credite externe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Share of external loans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500.00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510.00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511.00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Procurarea de actiuni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Purchase of shares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600.00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610.00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611.00</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611.01</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a bugetelor de alt nivel</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to another-tier budgets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611.02</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a institutiilor nefinanciare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to non-financial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611.03</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a institutiilor financiare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to financial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611.04</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a altor institutii</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to other facilities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611.05</w:t>
            </w:r>
          </w:p>
        </w:tc>
        <w:tc>
          <w:tcPr>
            <w:tcW w:w="4311" w:type="dxa"/>
            <w:gridSpan w:val="2"/>
            <w:shd w:val="clear" w:color="auto" w:fill="auto"/>
            <w:hideMark/>
          </w:tcPr>
          <w:p w:rsidR="00733362" w:rsidRPr="00AA70B4" w:rsidRDefault="00733362" w:rsidP="004E346F">
            <w:pPr>
              <w:rPr>
                <w:rFonts w:eastAsia="Times New Roman"/>
                <w:color w:val="000000"/>
                <w:sz w:val="20"/>
                <w:szCs w:val="20"/>
                <w:lang w:val="fr-FR"/>
              </w:rPr>
            </w:pPr>
            <w:r w:rsidRPr="00AA70B4">
              <w:rPr>
                <w:rFonts w:eastAsia="Times New Roman"/>
                <w:color w:val="000000"/>
                <w:sz w:val="20"/>
                <w:szCs w:val="20"/>
                <w:lang w:val="fr-FR"/>
              </w:rPr>
              <w:t>Creditarea neta de la onorarea garantiilor de stat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to service government bonds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611.06</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Restituirea mijloacelor la buget</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Returns to the state budget</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611.07</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de la acordarea imprumuturilor populatiei cu amanetarea articolelor din metale pretioase si pietre pretioase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from loans granted to population against the pawning of precious metals and gems</w:t>
            </w:r>
          </w:p>
        </w:tc>
      </w:tr>
      <w:tr w:rsidR="00733362" w:rsidRPr="009C6550" w:rsidTr="0097469A">
        <w:trPr>
          <w:trHeight w:val="255"/>
        </w:trPr>
        <w:tc>
          <w:tcPr>
            <w:tcW w:w="1105" w:type="dxa"/>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611.08</w:t>
            </w:r>
          </w:p>
        </w:tc>
        <w:tc>
          <w:tcPr>
            <w:tcW w:w="4311"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Creditarea neta de la rambursarea imprumuturilor acordate populatiei cu restituirea din amanet a articolelor din metale pretioase si pietre pretioase</w:t>
            </w:r>
          </w:p>
        </w:tc>
        <w:tc>
          <w:tcPr>
            <w:tcW w:w="4073" w:type="dxa"/>
            <w:gridSpan w:val="2"/>
            <w:shd w:val="clear" w:color="auto" w:fill="auto"/>
            <w:hideMark/>
          </w:tcPr>
          <w:p w:rsidR="00733362" w:rsidRPr="009C6550" w:rsidRDefault="00733362" w:rsidP="004E346F">
            <w:pPr>
              <w:rPr>
                <w:rFonts w:eastAsia="Times New Roman"/>
                <w:color w:val="000000"/>
                <w:sz w:val="20"/>
                <w:szCs w:val="20"/>
              </w:rPr>
            </w:pPr>
            <w:r w:rsidRPr="009C6550">
              <w:rPr>
                <w:rFonts w:eastAsia="Times New Roman"/>
                <w:color w:val="000000"/>
                <w:sz w:val="20"/>
                <w:szCs w:val="20"/>
              </w:rPr>
              <w:t>Net lending from the repayment of loans granted to population by returning the precious metals and gems pawned</w:t>
            </w:r>
          </w:p>
        </w:tc>
      </w:tr>
      <w:tr w:rsidR="00A0787B" w:rsidRPr="009C6550" w:rsidTr="00482432">
        <w:trPr>
          <w:gridAfter w:val="1"/>
          <w:wAfter w:w="3281" w:type="dxa"/>
          <w:trHeight w:val="255"/>
        </w:trPr>
        <w:tc>
          <w:tcPr>
            <w:tcW w:w="1472" w:type="dxa"/>
            <w:gridSpan w:val="2"/>
            <w:shd w:val="clear" w:color="auto" w:fill="BFBFBF" w:themeFill="background1" w:themeFillShade="BF"/>
            <w:hideMark/>
          </w:tcPr>
          <w:p w:rsidR="00A0787B" w:rsidRPr="009C6550" w:rsidRDefault="00A0787B" w:rsidP="004E346F">
            <w:pPr>
              <w:rPr>
                <w:rFonts w:eastAsia="Times New Roman"/>
                <w:b/>
                <w:color w:val="000000"/>
                <w:sz w:val="20"/>
                <w:szCs w:val="20"/>
              </w:rPr>
            </w:pPr>
            <w:r w:rsidRPr="009C6550">
              <w:rPr>
                <w:rFonts w:eastAsia="Times New Roman"/>
                <w:b/>
                <w:color w:val="000000"/>
                <w:sz w:val="20"/>
                <w:szCs w:val="20"/>
              </w:rPr>
              <w:lastRenderedPageBreak/>
              <w:t>fin_source</w:t>
            </w:r>
            <w:r>
              <w:rPr>
                <w:rFonts w:eastAsia="Times New Roman"/>
                <w:b/>
                <w:color w:val="000000"/>
                <w:sz w:val="20"/>
                <w:szCs w:val="20"/>
              </w:rPr>
              <w:t>1</w:t>
            </w:r>
          </w:p>
        </w:tc>
        <w:tc>
          <w:tcPr>
            <w:tcW w:w="4736" w:type="dxa"/>
            <w:gridSpan w:val="2"/>
            <w:shd w:val="clear" w:color="auto" w:fill="BFBFBF" w:themeFill="background1" w:themeFillShade="BF"/>
            <w:hideMark/>
          </w:tcPr>
          <w:p w:rsidR="00A0787B" w:rsidRPr="009C6550" w:rsidRDefault="00A0787B" w:rsidP="004E346F">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1</w:t>
            </w:r>
            <w:r w:rsidRPr="009C6550">
              <w:rPr>
                <w:rFonts w:eastAsia="Times New Roman"/>
                <w:b/>
                <w:color w:val="000000"/>
                <w:sz w:val="20"/>
                <w:szCs w:val="20"/>
              </w:rPr>
              <w:t>_md</w:t>
            </w:r>
          </w:p>
        </w:tc>
      </w:tr>
      <w:tr w:rsidR="00A0787B" w:rsidRPr="009C6550" w:rsidTr="00482432">
        <w:trPr>
          <w:gridAfter w:val="1"/>
          <w:wAfter w:w="3281" w:type="dxa"/>
          <w:trHeight w:val="255"/>
        </w:trPr>
        <w:tc>
          <w:tcPr>
            <w:tcW w:w="1472" w:type="dxa"/>
            <w:gridSpan w:val="2"/>
            <w:shd w:val="clear" w:color="auto" w:fill="auto"/>
            <w:hideMark/>
          </w:tcPr>
          <w:p w:rsidR="00A0787B" w:rsidRPr="009C6550" w:rsidRDefault="00A0787B" w:rsidP="004E346F">
            <w:pPr>
              <w:rPr>
                <w:rFonts w:eastAsia="Times New Roman"/>
                <w:color w:val="000000"/>
                <w:sz w:val="20"/>
                <w:szCs w:val="20"/>
              </w:rPr>
            </w:pPr>
            <w:r w:rsidRPr="009C6550">
              <w:rPr>
                <w:rFonts w:eastAsia="Times New Roman"/>
                <w:color w:val="000000"/>
                <w:sz w:val="20"/>
                <w:szCs w:val="20"/>
              </w:rPr>
              <w:t>1</w:t>
            </w:r>
            <w:r>
              <w:rPr>
                <w:rFonts w:eastAsia="Times New Roman"/>
                <w:color w:val="000000"/>
                <w:sz w:val="20"/>
                <w:szCs w:val="20"/>
              </w:rPr>
              <w:t>0</w:t>
            </w:r>
          </w:p>
        </w:tc>
        <w:tc>
          <w:tcPr>
            <w:tcW w:w="4736" w:type="dxa"/>
            <w:gridSpan w:val="2"/>
            <w:shd w:val="clear" w:color="auto" w:fill="auto"/>
            <w:hideMark/>
          </w:tcPr>
          <w:p w:rsidR="00A0787B" w:rsidRPr="009C6550" w:rsidRDefault="00A0787B" w:rsidP="004E346F">
            <w:pPr>
              <w:rPr>
                <w:rFonts w:eastAsia="Times New Roman"/>
                <w:color w:val="000000"/>
                <w:sz w:val="20"/>
                <w:szCs w:val="20"/>
              </w:rPr>
            </w:pPr>
            <w:r>
              <w:rPr>
                <w:rFonts w:eastAsia="Times New Roman"/>
                <w:color w:val="000000"/>
                <w:sz w:val="20"/>
                <w:szCs w:val="20"/>
              </w:rPr>
              <w:t>Budgetul central</w:t>
            </w:r>
          </w:p>
        </w:tc>
      </w:tr>
      <w:tr w:rsidR="00A0787B" w:rsidRPr="009C6550" w:rsidTr="00482432">
        <w:trPr>
          <w:gridAfter w:val="1"/>
          <w:wAfter w:w="3281" w:type="dxa"/>
          <w:trHeight w:val="255"/>
        </w:trPr>
        <w:tc>
          <w:tcPr>
            <w:tcW w:w="1472" w:type="dxa"/>
            <w:gridSpan w:val="2"/>
            <w:shd w:val="clear" w:color="auto" w:fill="auto"/>
            <w:hideMark/>
          </w:tcPr>
          <w:p w:rsidR="00A0787B" w:rsidRPr="009C6550" w:rsidRDefault="00A0787B" w:rsidP="004E346F">
            <w:pPr>
              <w:rPr>
                <w:rFonts w:eastAsia="Times New Roman"/>
                <w:color w:val="000000"/>
                <w:sz w:val="20"/>
                <w:szCs w:val="20"/>
              </w:rPr>
            </w:pPr>
            <w:r w:rsidRPr="009C6550">
              <w:rPr>
                <w:rFonts w:eastAsia="Times New Roman"/>
                <w:color w:val="000000"/>
                <w:sz w:val="20"/>
                <w:szCs w:val="20"/>
              </w:rPr>
              <w:t>2</w:t>
            </w:r>
            <w:r>
              <w:rPr>
                <w:rFonts w:eastAsia="Times New Roman"/>
                <w:color w:val="000000"/>
                <w:sz w:val="20"/>
                <w:szCs w:val="20"/>
              </w:rPr>
              <w:t>0</w:t>
            </w:r>
          </w:p>
        </w:tc>
        <w:tc>
          <w:tcPr>
            <w:tcW w:w="4736" w:type="dxa"/>
            <w:gridSpan w:val="2"/>
            <w:shd w:val="clear" w:color="auto" w:fill="auto"/>
            <w:hideMark/>
          </w:tcPr>
          <w:p w:rsidR="00A0787B" w:rsidRPr="009C6550" w:rsidRDefault="00A0787B" w:rsidP="004E346F">
            <w:pPr>
              <w:rPr>
                <w:rFonts w:eastAsia="Times New Roman"/>
                <w:color w:val="000000"/>
                <w:sz w:val="20"/>
                <w:szCs w:val="20"/>
              </w:rPr>
            </w:pPr>
            <w:r>
              <w:rPr>
                <w:rFonts w:eastAsia="Times New Roman"/>
                <w:color w:val="000000"/>
                <w:sz w:val="20"/>
                <w:szCs w:val="20"/>
              </w:rPr>
              <w:t xml:space="preserve">Budgetul local </w:t>
            </w:r>
          </w:p>
        </w:tc>
      </w:tr>
    </w:tbl>
    <w:p w:rsidR="00733362" w:rsidRDefault="00733362" w:rsidP="004E346F">
      <w:pPr>
        <w:rPr>
          <w:sz w:val="20"/>
          <w:szCs w:val="20"/>
        </w:rPr>
      </w:pPr>
    </w:p>
    <w:tbl>
      <w:tblPr>
        <w:tblW w:w="620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736"/>
      </w:tblGrid>
      <w:tr w:rsidR="00A0787B" w:rsidRPr="009C6550" w:rsidTr="00482432">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2</w:t>
            </w:r>
          </w:p>
        </w:tc>
        <w:tc>
          <w:tcPr>
            <w:tcW w:w="4736"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2</w:t>
            </w:r>
            <w:r w:rsidRPr="009C6550">
              <w:rPr>
                <w:rFonts w:eastAsia="Times New Roman"/>
                <w:b/>
                <w:color w:val="000000"/>
                <w:sz w:val="20"/>
                <w:szCs w:val="20"/>
              </w:rPr>
              <w:t>_md</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Pr>
                <w:rFonts w:eastAsia="Times New Roman"/>
                <w:color w:val="000000"/>
                <w:sz w:val="20"/>
                <w:szCs w:val="20"/>
              </w:rPr>
              <w:t>11</w:t>
            </w:r>
          </w:p>
        </w:tc>
        <w:tc>
          <w:tcPr>
            <w:tcW w:w="4736" w:type="dxa"/>
            <w:shd w:val="clear" w:color="auto" w:fill="auto"/>
            <w:vAlign w:val="bottom"/>
            <w:hideMark/>
          </w:tcPr>
          <w:p w:rsidR="00482432" w:rsidRDefault="00482432" w:rsidP="00482432">
            <w:pPr>
              <w:rPr>
                <w:rFonts w:eastAsia="Times New Roman"/>
                <w:sz w:val="20"/>
                <w:szCs w:val="20"/>
              </w:rPr>
            </w:pPr>
            <w:r>
              <w:rPr>
                <w:sz w:val="20"/>
                <w:szCs w:val="20"/>
              </w:rPr>
              <w:t>Bugetul de Stat</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Pr>
                <w:rFonts w:eastAsia="Times New Roman"/>
                <w:color w:val="000000"/>
                <w:sz w:val="20"/>
                <w:szCs w:val="20"/>
              </w:rPr>
              <w:t>1</w:t>
            </w:r>
            <w:r w:rsidRPr="009C6550">
              <w:rPr>
                <w:rFonts w:eastAsia="Times New Roman"/>
                <w:color w:val="000000"/>
                <w:sz w:val="20"/>
                <w:szCs w:val="20"/>
              </w:rPr>
              <w:t>2</w:t>
            </w:r>
          </w:p>
        </w:tc>
        <w:tc>
          <w:tcPr>
            <w:tcW w:w="4736" w:type="dxa"/>
            <w:shd w:val="clear" w:color="auto" w:fill="auto"/>
            <w:vAlign w:val="bottom"/>
            <w:hideMark/>
          </w:tcPr>
          <w:p w:rsidR="00482432" w:rsidRDefault="00482432" w:rsidP="00482432">
            <w:pPr>
              <w:rPr>
                <w:sz w:val="20"/>
                <w:szCs w:val="20"/>
              </w:rPr>
            </w:pPr>
            <w:r>
              <w:rPr>
                <w:sz w:val="20"/>
                <w:szCs w:val="20"/>
              </w:rPr>
              <w:t>Bugetul Asigurarilor Sociale de Stat</w:t>
            </w:r>
          </w:p>
        </w:tc>
      </w:tr>
      <w:tr w:rsidR="00482432" w:rsidRPr="009C6550" w:rsidTr="00482432">
        <w:trPr>
          <w:trHeight w:val="68"/>
        </w:trPr>
        <w:tc>
          <w:tcPr>
            <w:tcW w:w="1472" w:type="dxa"/>
            <w:shd w:val="clear" w:color="auto" w:fill="auto"/>
            <w:hideMark/>
          </w:tcPr>
          <w:p w:rsidR="00482432" w:rsidRPr="009C6550" w:rsidRDefault="00482432" w:rsidP="00482432">
            <w:pPr>
              <w:rPr>
                <w:rFonts w:eastAsia="Times New Roman"/>
                <w:color w:val="000000"/>
                <w:sz w:val="20"/>
                <w:szCs w:val="20"/>
              </w:rPr>
            </w:pPr>
            <w:r>
              <w:rPr>
                <w:rFonts w:eastAsia="Times New Roman"/>
                <w:color w:val="000000"/>
                <w:sz w:val="20"/>
                <w:szCs w:val="20"/>
              </w:rPr>
              <w:t>1</w:t>
            </w:r>
            <w:r w:rsidRPr="009C6550">
              <w:rPr>
                <w:rFonts w:eastAsia="Times New Roman"/>
                <w:color w:val="000000"/>
                <w:sz w:val="20"/>
                <w:szCs w:val="20"/>
              </w:rPr>
              <w:t>3</w:t>
            </w:r>
          </w:p>
        </w:tc>
        <w:tc>
          <w:tcPr>
            <w:tcW w:w="4736" w:type="dxa"/>
            <w:shd w:val="clear" w:color="auto" w:fill="auto"/>
            <w:vAlign w:val="bottom"/>
            <w:hideMark/>
          </w:tcPr>
          <w:p w:rsidR="00482432" w:rsidRDefault="00482432" w:rsidP="00482432">
            <w:pPr>
              <w:rPr>
                <w:sz w:val="20"/>
                <w:szCs w:val="20"/>
              </w:rPr>
            </w:pPr>
            <w:r>
              <w:rPr>
                <w:sz w:val="20"/>
                <w:szCs w:val="20"/>
              </w:rPr>
              <w:t>Fondurile Asigurarii Obligatorii de Asistenta Medicala</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Pr>
                <w:rFonts w:eastAsia="Times New Roman"/>
                <w:color w:val="000000"/>
                <w:sz w:val="20"/>
                <w:szCs w:val="20"/>
              </w:rPr>
              <w:t>21</w:t>
            </w:r>
          </w:p>
        </w:tc>
        <w:tc>
          <w:tcPr>
            <w:tcW w:w="4736" w:type="dxa"/>
            <w:shd w:val="clear" w:color="auto" w:fill="auto"/>
            <w:vAlign w:val="bottom"/>
            <w:hideMark/>
          </w:tcPr>
          <w:p w:rsidR="00482432" w:rsidRDefault="00482432" w:rsidP="00482432">
            <w:pPr>
              <w:rPr>
                <w:sz w:val="20"/>
                <w:szCs w:val="20"/>
              </w:rPr>
            </w:pPr>
            <w:r>
              <w:rPr>
                <w:sz w:val="20"/>
                <w:szCs w:val="20"/>
              </w:rPr>
              <w:t>Bugetul Local de nivelul 1</w:t>
            </w:r>
          </w:p>
        </w:tc>
      </w:tr>
      <w:tr w:rsidR="00482432" w:rsidRPr="009C6550" w:rsidTr="00482432">
        <w:trPr>
          <w:trHeight w:val="255"/>
        </w:trPr>
        <w:tc>
          <w:tcPr>
            <w:tcW w:w="1472" w:type="dxa"/>
            <w:shd w:val="clear" w:color="auto" w:fill="auto"/>
          </w:tcPr>
          <w:p w:rsidR="00482432" w:rsidRPr="009C6550" w:rsidRDefault="00482432" w:rsidP="00482432">
            <w:pPr>
              <w:rPr>
                <w:rFonts w:eastAsia="Times New Roman"/>
                <w:color w:val="000000"/>
                <w:sz w:val="20"/>
                <w:szCs w:val="20"/>
              </w:rPr>
            </w:pPr>
            <w:r>
              <w:rPr>
                <w:rFonts w:eastAsia="Times New Roman"/>
                <w:color w:val="000000"/>
                <w:sz w:val="20"/>
                <w:szCs w:val="20"/>
              </w:rPr>
              <w:t>22</w:t>
            </w:r>
          </w:p>
        </w:tc>
        <w:tc>
          <w:tcPr>
            <w:tcW w:w="4736" w:type="dxa"/>
            <w:shd w:val="clear" w:color="auto" w:fill="auto"/>
            <w:vAlign w:val="bottom"/>
          </w:tcPr>
          <w:p w:rsidR="00482432" w:rsidRDefault="00482432" w:rsidP="00482432">
            <w:pPr>
              <w:rPr>
                <w:sz w:val="20"/>
                <w:szCs w:val="20"/>
              </w:rPr>
            </w:pPr>
            <w:r>
              <w:rPr>
                <w:sz w:val="20"/>
                <w:szCs w:val="20"/>
              </w:rPr>
              <w:t>Bugetul Local de nivelul 2</w:t>
            </w:r>
          </w:p>
        </w:tc>
      </w:tr>
    </w:tbl>
    <w:p w:rsidR="00A0787B" w:rsidRDefault="00A0787B" w:rsidP="004E346F">
      <w:pPr>
        <w:rPr>
          <w:sz w:val="20"/>
          <w:szCs w:val="20"/>
        </w:rPr>
      </w:pPr>
    </w:p>
    <w:tbl>
      <w:tblPr>
        <w:tblW w:w="620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736"/>
      </w:tblGrid>
      <w:tr w:rsidR="00A0787B" w:rsidRPr="009C6550" w:rsidTr="00482432">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3</w:t>
            </w:r>
          </w:p>
        </w:tc>
        <w:tc>
          <w:tcPr>
            <w:tcW w:w="4736"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3</w:t>
            </w:r>
            <w:r w:rsidRPr="009C6550">
              <w:rPr>
                <w:rFonts w:eastAsia="Times New Roman"/>
                <w:b/>
                <w:color w:val="000000"/>
                <w:sz w:val="20"/>
                <w:szCs w:val="20"/>
              </w:rPr>
              <w:t>_md</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sidRPr="009C6550">
              <w:rPr>
                <w:rFonts w:eastAsia="Times New Roman"/>
                <w:color w:val="000000"/>
                <w:sz w:val="20"/>
                <w:szCs w:val="20"/>
              </w:rPr>
              <w:t>1</w:t>
            </w:r>
          </w:p>
        </w:tc>
        <w:tc>
          <w:tcPr>
            <w:tcW w:w="4736" w:type="dxa"/>
            <w:shd w:val="clear" w:color="auto" w:fill="auto"/>
            <w:vAlign w:val="bottom"/>
            <w:hideMark/>
          </w:tcPr>
          <w:p w:rsidR="00482432" w:rsidRDefault="00482432" w:rsidP="00482432">
            <w:pPr>
              <w:rPr>
                <w:rFonts w:eastAsia="Times New Roman"/>
                <w:sz w:val="20"/>
                <w:szCs w:val="20"/>
              </w:rPr>
            </w:pPr>
            <w:r>
              <w:rPr>
                <w:sz w:val="20"/>
                <w:szCs w:val="20"/>
              </w:rPr>
              <w:t>Resurse generale</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sidRPr="009C6550">
              <w:rPr>
                <w:rFonts w:eastAsia="Times New Roman"/>
                <w:color w:val="000000"/>
                <w:sz w:val="20"/>
                <w:szCs w:val="20"/>
              </w:rPr>
              <w:t>2</w:t>
            </w:r>
          </w:p>
        </w:tc>
        <w:tc>
          <w:tcPr>
            <w:tcW w:w="4736" w:type="dxa"/>
            <w:shd w:val="clear" w:color="auto" w:fill="auto"/>
            <w:vAlign w:val="bottom"/>
            <w:hideMark/>
          </w:tcPr>
          <w:p w:rsidR="00482432" w:rsidRDefault="00482432" w:rsidP="00482432">
            <w:pPr>
              <w:rPr>
                <w:sz w:val="20"/>
                <w:szCs w:val="20"/>
              </w:rPr>
            </w:pPr>
            <w:r>
              <w:rPr>
                <w:sz w:val="20"/>
                <w:szCs w:val="20"/>
              </w:rPr>
              <w:t>Resurse colectate de autoritati/institutii bugetare</w:t>
            </w:r>
          </w:p>
        </w:tc>
      </w:tr>
      <w:tr w:rsidR="00482432" w:rsidRPr="009C6550" w:rsidTr="00482432">
        <w:trPr>
          <w:trHeight w:val="68"/>
        </w:trPr>
        <w:tc>
          <w:tcPr>
            <w:tcW w:w="1472" w:type="dxa"/>
            <w:shd w:val="clear" w:color="auto" w:fill="auto"/>
            <w:hideMark/>
          </w:tcPr>
          <w:p w:rsidR="00482432" w:rsidRPr="009C6550" w:rsidRDefault="00482432" w:rsidP="00482432">
            <w:pPr>
              <w:rPr>
                <w:rFonts w:eastAsia="Times New Roman"/>
                <w:color w:val="000000"/>
                <w:sz w:val="20"/>
                <w:szCs w:val="20"/>
              </w:rPr>
            </w:pPr>
            <w:r w:rsidRPr="009C6550">
              <w:rPr>
                <w:rFonts w:eastAsia="Times New Roman"/>
                <w:color w:val="000000"/>
                <w:sz w:val="20"/>
                <w:szCs w:val="20"/>
              </w:rPr>
              <w:t>3</w:t>
            </w:r>
          </w:p>
        </w:tc>
        <w:tc>
          <w:tcPr>
            <w:tcW w:w="4736" w:type="dxa"/>
            <w:shd w:val="clear" w:color="auto" w:fill="auto"/>
            <w:vAlign w:val="bottom"/>
            <w:hideMark/>
          </w:tcPr>
          <w:p w:rsidR="00482432" w:rsidRDefault="00482432" w:rsidP="00482432">
            <w:pPr>
              <w:rPr>
                <w:sz w:val="20"/>
                <w:szCs w:val="20"/>
              </w:rPr>
            </w:pPr>
            <w:r>
              <w:rPr>
                <w:sz w:val="20"/>
                <w:szCs w:val="20"/>
              </w:rPr>
              <w:t>Alocatii cu caracter general</w:t>
            </w:r>
          </w:p>
        </w:tc>
      </w:tr>
      <w:tr w:rsidR="00482432" w:rsidRPr="009C6550" w:rsidTr="00482432">
        <w:trPr>
          <w:trHeight w:val="255"/>
        </w:trPr>
        <w:tc>
          <w:tcPr>
            <w:tcW w:w="1472" w:type="dxa"/>
            <w:shd w:val="clear" w:color="auto" w:fill="auto"/>
            <w:hideMark/>
          </w:tcPr>
          <w:p w:rsidR="00482432" w:rsidRPr="009C6550" w:rsidRDefault="00482432" w:rsidP="00482432">
            <w:pPr>
              <w:rPr>
                <w:rFonts w:eastAsia="Times New Roman"/>
                <w:color w:val="000000"/>
                <w:sz w:val="20"/>
                <w:szCs w:val="20"/>
              </w:rPr>
            </w:pPr>
            <w:r w:rsidRPr="009C6550">
              <w:rPr>
                <w:rFonts w:eastAsia="Times New Roman"/>
                <w:color w:val="000000"/>
                <w:sz w:val="20"/>
                <w:szCs w:val="20"/>
              </w:rPr>
              <w:t>4</w:t>
            </w:r>
          </w:p>
        </w:tc>
        <w:tc>
          <w:tcPr>
            <w:tcW w:w="4736" w:type="dxa"/>
            <w:shd w:val="clear" w:color="auto" w:fill="auto"/>
            <w:vAlign w:val="bottom"/>
            <w:hideMark/>
          </w:tcPr>
          <w:p w:rsidR="00482432" w:rsidRDefault="00482432" w:rsidP="00482432">
            <w:pPr>
              <w:rPr>
                <w:sz w:val="20"/>
                <w:szCs w:val="20"/>
              </w:rPr>
            </w:pPr>
            <w:r>
              <w:rPr>
                <w:sz w:val="20"/>
                <w:szCs w:val="20"/>
              </w:rPr>
              <w:t>Alocatii cu caracter special</w:t>
            </w:r>
          </w:p>
        </w:tc>
      </w:tr>
    </w:tbl>
    <w:p w:rsidR="00A0787B" w:rsidRDefault="00A0787B" w:rsidP="004E346F">
      <w:pPr>
        <w:rPr>
          <w:sz w:val="20"/>
          <w:szCs w:val="20"/>
        </w:rPr>
      </w:pPr>
    </w:p>
    <w:tbl>
      <w:tblPr>
        <w:tblW w:w="620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736"/>
      </w:tblGrid>
      <w:tr w:rsidR="00A0787B" w:rsidRPr="009C6550" w:rsidTr="00482432">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482432">
              <w:rPr>
                <w:rFonts w:eastAsia="Times New Roman"/>
                <w:b/>
                <w:color w:val="000000"/>
                <w:sz w:val="20"/>
                <w:szCs w:val="20"/>
              </w:rPr>
              <w:t>4</w:t>
            </w:r>
          </w:p>
        </w:tc>
        <w:tc>
          <w:tcPr>
            <w:tcW w:w="4736" w:type="dxa"/>
            <w:shd w:val="clear" w:color="auto" w:fill="BFBFBF" w:themeFill="background1" w:themeFillShade="BF"/>
            <w:hideMark/>
          </w:tcPr>
          <w:p w:rsidR="00A0787B" w:rsidRPr="009C6550" w:rsidRDefault="00482432" w:rsidP="00044D0B">
            <w:pPr>
              <w:rPr>
                <w:rFonts w:eastAsia="Times New Roman"/>
                <w:b/>
                <w:color w:val="000000"/>
                <w:sz w:val="20"/>
                <w:szCs w:val="20"/>
              </w:rPr>
            </w:pPr>
            <w:r>
              <w:rPr>
                <w:rFonts w:eastAsia="Times New Roman"/>
                <w:b/>
                <w:color w:val="000000"/>
                <w:sz w:val="20"/>
                <w:szCs w:val="20"/>
              </w:rPr>
              <w:t>fin_source4</w:t>
            </w:r>
            <w:r w:rsidR="00A0787B" w:rsidRPr="009C6550">
              <w:rPr>
                <w:rFonts w:eastAsia="Times New Roman"/>
                <w:b/>
                <w:color w:val="000000"/>
                <w:sz w:val="20"/>
                <w:szCs w:val="20"/>
              </w:rPr>
              <w:t>_md</w:t>
            </w:r>
          </w:p>
        </w:tc>
      </w:tr>
      <w:tr w:rsidR="00482432" w:rsidRPr="009C6550" w:rsidTr="00EC01E7">
        <w:trPr>
          <w:trHeight w:val="255"/>
        </w:trPr>
        <w:tc>
          <w:tcPr>
            <w:tcW w:w="1472" w:type="dxa"/>
            <w:shd w:val="clear" w:color="auto" w:fill="auto"/>
            <w:vAlign w:val="bottom"/>
            <w:hideMark/>
          </w:tcPr>
          <w:p w:rsidR="00482432" w:rsidRDefault="00482432" w:rsidP="00482432">
            <w:pPr>
              <w:rPr>
                <w:rFonts w:eastAsia="Times New Roman"/>
                <w:sz w:val="20"/>
                <w:szCs w:val="20"/>
              </w:rPr>
            </w:pPr>
            <w:r>
              <w:rPr>
                <w:sz w:val="20"/>
                <w:szCs w:val="20"/>
              </w:rPr>
              <w:t>100</w:t>
            </w:r>
          </w:p>
        </w:tc>
        <w:tc>
          <w:tcPr>
            <w:tcW w:w="4736" w:type="dxa"/>
            <w:shd w:val="clear" w:color="auto" w:fill="auto"/>
            <w:vAlign w:val="bottom"/>
            <w:hideMark/>
          </w:tcPr>
          <w:p w:rsidR="00482432" w:rsidRDefault="00482432" w:rsidP="00482432">
            <w:pPr>
              <w:rPr>
                <w:sz w:val="20"/>
                <w:szCs w:val="20"/>
              </w:rPr>
            </w:pPr>
            <w:r>
              <w:rPr>
                <w:sz w:val="20"/>
                <w:szCs w:val="20"/>
              </w:rPr>
              <w:t>Resurse generale</w:t>
            </w:r>
          </w:p>
        </w:tc>
      </w:tr>
      <w:tr w:rsidR="00482432" w:rsidRPr="009C6550" w:rsidTr="00EC01E7">
        <w:trPr>
          <w:trHeight w:val="255"/>
        </w:trPr>
        <w:tc>
          <w:tcPr>
            <w:tcW w:w="1472" w:type="dxa"/>
            <w:shd w:val="clear" w:color="auto" w:fill="auto"/>
            <w:vAlign w:val="bottom"/>
            <w:hideMark/>
          </w:tcPr>
          <w:p w:rsidR="00482432" w:rsidRDefault="00482432" w:rsidP="00482432">
            <w:pPr>
              <w:rPr>
                <w:sz w:val="20"/>
                <w:szCs w:val="20"/>
              </w:rPr>
            </w:pPr>
            <w:r>
              <w:rPr>
                <w:sz w:val="20"/>
                <w:szCs w:val="20"/>
              </w:rPr>
              <w:t>298</w:t>
            </w:r>
          </w:p>
        </w:tc>
        <w:tc>
          <w:tcPr>
            <w:tcW w:w="4736" w:type="dxa"/>
            <w:shd w:val="clear" w:color="auto" w:fill="auto"/>
            <w:vAlign w:val="bottom"/>
            <w:hideMark/>
          </w:tcPr>
          <w:p w:rsidR="00482432" w:rsidRDefault="00482432" w:rsidP="00482432">
            <w:pPr>
              <w:rPr>
                <w:sz w:val="20"/>
                <w:szCs w:val="20"/>
              </w:rPr>
            </w:pPr>
            <w:r>
              <w:rPr>
                <w:sz w:val="20"/>
                <w:szCs w:val="20"/>
              </w:rPr>
              <w:t>Resurse atrase pentru proiecte finantate din surse externe</w:t>
            </w:r>
          </w:p>
        </w:tc>
      </w:tr>
      <w:tr w:rsidR="00482432" w:rsidRPr="009C6550" w:rsidTr="00EC01E7">
        <w:trPr>
          <w:trHeight w:val="68"/>
        </w:trPr>
        <w:tc>
          <w:tcPr>
            <w:tcW w:w="1472" w:type="dxa"/>
            <w:shd w:val="clear" w:color="auto" w:fill="auto"/>
            <w:vAlign w:val="bottom"/>
            <w:hideMark/>
          </w:tcPr>
          <w:p w:rsidR="00482432" w:rsidRDefault="00482432" w:rsidP="00482432">
            <w:pPr>
              <w:rPr>
                <w:sz w:val="20"/>
                <w:szCs w:val="20"/>
              </w:rPr>
            </w:pPr>
            <w:r>
              <w:rPr>
                <w:sz w:val="20"/>
                <w:szCs w:val="20"/>
              </w:rPr>
              <w:t>300</w:t>
            </w:r>
          </w:p>
        </w:tc>
        <w:tc>
          <w:tcPr>
            <w:tcW w:w="4736" w:type="dxa"/>
            <w:shd w:val="clear" w:color="auto" w:fill="auto"/>
            <w:vAlign w:val="bottom"/>
            <w:hideMark/>
          </w:tcPr>
          <w:p w:rsidR="00482432" w:rsidRDefault="00482432" w:rsidP="00482432">
            <w:pPr>
              <w:rPr>
                <w:sz w:val="20"/>
                <w:szCs w:val="20"/>
              </w:rPr>
            </w:pPr>
            <w:r>
              <w:rPr>
                <w:sz w:val="20"/>
                <w:szCs w:val="20"/>
              </w:rPr>
              <w:t>Alocatii cu caracter general</w:t>
            </w:r>
          </w:p>
        </w:tc>
      </w:tr>
      <w:tr w:rsidR="00482432" w:rsidRPr="009C6550" w:rsidTr="00EC01E7">
        <w:trPr>
          <w:trHeight w:val="255"/>
        </w:trPr>
        <w:tc>
          <w:tcPr>
            <w:tcW w:w="1472" w:type="dxa"/>
            <w:shd w:val="clear" w:color="auto" w:fill="auto"/>
            <w:vAlign w:val="bottom"/>
            <w:hideMark/>
          </w:tcPr>
          <w:p w:rsidR="00482432" w:rsidRDefault="00482432" w:rsidP="00482432">
            <w:pPr>
              <w:rPr>
                <w:sz w:val="20"/>
                <w:szCs w:val="20"/>
              </w:rPr>
            </w:pPr>
            <w:r>
              <w:rPr>
                <w:sz w:val="20"/>
                <w:szCs w:val="20"/>
              </w:rPr>
              <w:t>401</w:t>
            </w:r>
          </w:p>
        </w:tc>
        <w:tc>
          <w:tcPr>
            <w:tcW w:w="4736" w:type="dxa"/>
            <w:shd w:val="clear" w:color="auto" w:fill="auto"/>
            <w:vAlign w:val="bottom"/>
            <w:hideMark/>
          </w:tcPr>
          <w:p w:rsidR="00482432" w:rsidRDefault="00482432" w:rsidP="00482432">
            <w:pPr>
              <w:rPr>
                <w:sz w:val="20"/>
                <w:szCs w:val="20"/>
              </w:rPr>
            </w:pPr>
            <w:r>
              <w:rPr>
                <w:sz w:val="20"/>
                <w:szCs w:val="20"/>
              </w:rPr>
              <w:t>Fondul de rezerva al Guvernului</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402</w:t>
            </w:r>
          </w:p>
        </w:tc>
        <w:tc>
          <w:tcPr>
            <w:tcW w:w="4736" w:type="dxa"/>
            <w:shd w:val="clear" w:color="auto" w:fill="auto"/>
            <w:vAlign w:val="bottom"/>
          </w:tcPr>
          <w:p w:rsidR="00482432" w:rsidRDefault="00482432" w:rsidP="00482432">
            <w:pPr>
              <w:rPr>
                <w:sz w:val="20"/>
                <w:szCs w:val="20"/>
              </w:rPr>
            </w:pPr>
            <w:r>
              <w:rPr>
                <w:sz w:val="20"/>
                <w:szCs w:val="20"/>
              </w:rPr>
              <w:t>Fondul de interventie a Guvernului</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403</w:t>
            </w:r>
          </w:p>
        </w:tc>
        <w:tc>
          <w:tcPr>
            <w:tcW w:w="4736" w:type="dxa"/>
            <w:shd w:val="clear" w:color="auto" w:fill="auto"/>
            <w:vAlign w:val="bottom"/>
          </w:tcPr>
          <w:p w:rsidR="00482432" w:rsidRDefault="00482432" w:rsidP="00482432">
            <w:pPr>
              <w:rPr>
                <w:sz w:val="20"/>
                <w:szCs w:val="20"/>
              </w:rPr>
            </w:pPr>
            <w:r>
              <w:rPr>
                <w:sz w:val="20"/>
                <w:szCs w:val="20"/>
              </w:rPr>
              <w:t>Fondul de rezerva al APL</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404</w:t>
            </w:r>
          </w:p>
        </w:tc>
        <w:tc>
          <w:tcPr>
            <w:tcW w:w="4736" w:type="dxa"/>
            <w:shd w:val="clear" w:color="auto" w:fill="auto"/>
            <w:vAlign w:val="bottom"/>
          </w:tcPr>
          <w:p w:rsidR="00482432" w:rsidRDefault="00482432" w:rsidP="00482432">
            <w:pPr>
              <w:rPr>
                <w:sz w:val="20"/>
                <w:szCs w:val="20"/>
              </w:rPr>
            </w:pPr>
            <w:r>
              <w:rPr>
                <w:sz w:val="20"/>
                <w:szCs w:val="20"/>
              </w:rPr>
              <w:t>Programul de reintegrare</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406</w:t>
            </w:r>
          </w:p>
        </w:tc>
        <w:tc>
          <w:tcPr>
            <w:tcW w:w="4736" w:type="dxa"/>
            <w:shd w:val="clear" w:color="auto" w:fill="auto"/>
            <w:vAlign w:val="bottom"/>
          </w:tcPr>
          <w:p w:rsidR="00482432" w:rsidRDefault="00482432" w:rsidP="00482432">
            <w:pPr>
              <w:rPr>
                <w:sz w:val="20"/>
                <w:szCs w:val="20"/>
              </w:rPr>
            </w:pPr>
            <w:r>
              <w:rPr>
                <w:sz w:val="20"/>
                <w:szCs w:val="20"/>
              </w:rPr>
              <w:t>Fondul pentru renovarea institutiilor de invatamant primar, gimnazial si liceal</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408</w:t>
            </w:r>
          </w:p>
        </w:tc>
        <w:tc>
          <w:tcPr>
            <w:tcW w:w="4736" w:type="dxa"/>
            <w:shd w:val="clear" w:color="auto" w:fill="auto"/>
            <w:vAlign w:val="bottom"/>
          </w:tcPr>
          <w:p w:rsidR="00482432" w:rsidRDefault="00482432" w:rsidP="00482432">
            <w:pPr>
              <w:rPr>
                <w:sz w:val="20"/>
                <w:szCs w:val="20"/>
              </w:rPr>
            </w:pPr>
            <w:r>
              <w:rPr>
                <w:sz w:val="20"/>
                <w:szCs w:val="20"/>
              </w:rPr>
              <w:t>Indemnizatii unice pentru constructia/procurarea s</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409</w:t>
            </w:r>
          </w:p>
        </w:tc>
        <w:tc>
          <w:tcPr>
            <w:tcW w:w="4736" w:type="dxa"/>
            <w:shd w:val="clear" w:color="auto" w:fill="auto"/>
            <w:vAlign w:val="bottom"/>
          </w:tcPr>
          <w:p w:rsidR="00482432" w:rsidRDefault="00482432" w:rsidP="00482432">
            <w:pPr>
              <w:rPr>
                <w:sz w:val="20"/>
                <w:szCs w:val="20"/>
              </w:rPr>
            </w:pPr>
            <w:r>
              <w:rPr>
                <w:sz w:val="20"/>
                <w:szCs w:val="20"/>
              </w:rPr>
              <w:t>Compensatii victimelor represiunilor politice</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410</w:t>
            </w:r>
          </w:p>
        </w:tc>
        <w:tc>
          <w:tcPr>
            <w:tcW w:w="4736" w:type="dxa"/>
            <w:shd w:val="clear" w:color="auto" w:fill="auto"/>
            <w:vAlign w:val="bottom"/>
          </w:tcPr>
          <w:p w:rsidR="00482432" w:rsidRDefault="00482432" w:rsidP="00482432">
            <w:pPr>
              <w:rPr>
                <w:sz w:val="20"/>
                <w:szCs w:val="20"/>
              </w:rPr>
            </w:pPr>
            <w:r>
              <w:rPr>
                <w:sz w:val="20"/>
                <w:szCs w:val="20"/>
              </w:rPr>
              <w:t>Componenta unitatii administrativ-teritoriale pentru invatamantul primar, gimnazial si liceal</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411</w:t>
            </w:r>
          </w:p>
        </w:tc>
        <w:tc>
          <w:tcPr>
            <w:tcW w:w="4736" w:type="dxa"/>
            <w:shd w:val="clear" w:color="auto" w:fill="auto"/>
            <w:vAlign w:val="bottom"/>
          </w:tcPr>
          <w:p w:rsidR="00482432" w:rsidRDefault="00482432" w:rsidP="00482432">
            <w:pPr>
              <w:rPr>
                <w:sz w:val="20"/>
                <w:szCs w:val="20"/>
              </w:rPr>
            </w:pPr>
            <w:r>
              <w:rPr>
                <w:sz w:val="20"/>
                <w:szCs w:val="20"/>
              </w:rPr>
              <w:t>Fondul de educatie incluziva</w:t>
            </w:r>
          </w:p>
        </w:tc>
      </w:tr>
      <w:tr w:rsidR="00482432" w:rsidRPr="009C6550" w:rsidTr="00EC01E7">
        <w:trPr>
          <w:trHeight w:val="255"/>
        </w:trPr>
        <w:tc>
          <w:tcPr>
            <w:tcW w:w="1472" w:type="dxa"/>
            <w:shd w:val="clear" w:color="auto" w:fill="auto"/>
            <w:vAlign w:val="bottom"/>
          </w:tcPr>
          <w:p w:rsidR="00482432" w:rsidRDefault="00482432" w:rsidP="00482432">
            <w:pPr>
              <w:rPr>
                <w:sz w:val="20"/>
                <w:szCs w:val="20"/>
              </w:rPr>
            </w:pPr>
            <w:r>
              <w:rPr>
                <w:sz w:val="20"/>
                <w:szCs w:val="20"/>
              </w:rPr>
              <w:t>412</w:t>
            </w:r>
          </w:p>
        </w:tc>
        <w:tc>
          <w:tcPr>
            <w:tcW w:w="4736" w:type="dxa"/>
            <w:shd w:val="clear" w:color="auto" w:fill="auto"/>
            <w:vAlign w:val="bottom"/>
          </w:tcPr>
          <w:p w:rsidR="00482432" w:rsidRDefault="00482432" w:rsidP="00482432">
            <w:pPr>
              <w:rPr>
                <w:sz w:val="20"/>
                <w:szCs w:val="20"/>
              </w:rPr>
            </w:pPr>
            <w:r>
              <w:rPr>
                <w:sz w:val="20"/>
                <w:szCs w:val="20"/>
              </w:rPr>
              <w:t>Reforma administratiei publice</w:t>
            </w:r>
          </w:p>
        </w:tc>
      </w:tr>
    </w:tbl>
    <w:p w:rsidR="00A0787B" w:rsidRDefault="00A0787B" w:rsidP="004E346F">
      <w:pPr>
        <w:rPr>
          <w:sz w:val="20"/>
          <w:szCs w:val="20"/>
        </w:rPr>
      </w:pPr>
    </w:p>
    <w:tbl>
      <w:tblPr>
        <w:tblW w:w="620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736"/>
      </w:tblGrid>
      <w:tr w:rsidR="00A0787B" w:rsidRPr="009C6550" w:rsidTr="008A3E99">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EB530B">
              <w:rPr>
                <w:rFonts w:eastAsia="Times New Roman"/>
                <w:b/>
                <w:color w:val="000000"/>
                <w:sz w:val="20"/>
                <w:szCs w:val="20"/>
              </w:rPr>
              <w:t>5</w:t>
            </w:r>
          </w:p>
        </w:tc>
        <w:tc>
          <w:tcPr>
            <w:tcW w:w="4736"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EB530B">
              <w:rPr>
                <w:rFonts w:eastAsia="Times New Roman"/>
                <w:b/>
                <w:color w:val="000000"/>
                <w:sz w:val="20"/>
                <w:szCs w:val="20"/>
              </w:rPr>
              <w:t>5</w:t>
            </w:r>
            <w:r w:rsidRPr="009C6550">
              <w:rPr>
                <w:rFonts w:eastAsia="Times New Roman"/>
                <w:b/>
                <w:color w:val="000000"/>
                <w:sz w:val="20"/>
                <w:szCs w:val="20"/>
              </w:rPr>
              <w:t>_md</w:t>
            </w:r>
          </w:p>
        </w:tc>
      </w:tr>
      <w:tr w:rsidR="00A0787B" w:rsidRPr="009C6550" w:rsidTr="008A3E99">
        <w:trPr>
          <w:trHeight w:val="255"/>
        </w:trPr>
        <w:tc>
          <w:tcPr>
            <w:tcW w:w="1472" w:type="dxa"/>
            <w:shd w:val="clear" w:color="auto" w:fill="auto"/>
            <w:hideMark/>
          </w:tcPr>
          <w:p w:rsidR="00A0787B" w:rsidRPr="009C6550" w:rsidRDefault="00EB530B" w:rsidP="00044D0B">
            <w:pPr>
              <w:rPr>
                <w:rFonts w:eastAsia="Times New Roman"/>
                <w:color w:val="000000"/>
                <w:sz w:val="20"/>
                <w:szCs w:val="20"/>
              </w:rPr>
            </w:pPr>
            <w:r>
              <w:rPr>
                <w:rFonts w:eastAsia="Times New Roman"/>
                <w:color w:val="000000"/>
                <w:sz w:val="20"/>
                <w:szCs w:val="20"/>
              </w:rPr>
              <w:t>1</w:t>
            </w:r>
          </w:p>
        </w:tc>
        <w:tc>
          <w:tcPr>
            <w:tcW w:w="4736" w:type="dxa"/>
            <w:shd w:val="clear" w:color="auto" w:fill="auto"/>
            <w:hideMark/>
          </w:tcPr>
          <w:p w:rsidR="00A0787B" w:rsidRPr="009C6550" w:rsidRDefault="008A3E99" w:rsidP="00044D0B">
            <w:pPr>
              <w:rPr>
                <w:rFonts w:eastAsia="Times New Roman"/>
                <w:color w:val="000000"/>
                <w:sz w:val="20"/>
                <w:szCs w:val="20"/>
              </w:rPr>
            </w:pPr>
            <w:r>
              <w:rPr>
                <w:rFonts w:eastAsia="Times New Roman"/>
                <w:color w:val="000000"/>
                <w:sz w:val="20"/>
                <w:szCs w:val="20"/>
              </w:rPr>
              <w:t xml:space="preserve">Surse interne </w:t>
            </w:r>
          </w:p>
        </w:tc>
      </w:tr>
      <w:tr w:rsidR="00A0787B" w:rsidRPr="009C6550" w:rsidTr="008A3E99">
        <w:trPr>
          <w:trHeight w:val="255"/>
        </w:trPr>
        <w:tc>
          <w:tcPr>
            <w:tcW w:w="147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2</w:t>
            </w:r>
          </w:p>
        </w:tc>
        <w:tc>
          <w:tcPr>
            <w:tcW w:w="4736" w:type="dxa"/>
            <w:shd w:val="clear" w:color="auto" w:fill="auto"/>
            <w:hideMark/>
          </w:tcPr>
          <w:p w:rsidR="00A0787B" w:rsidRPr="009C6550" w:rsidRDefault="008A3E99" w:rsidP="00044D0B">
            <w:pPr>
              <w:rPr>
                <w:rFonts w:eastAsia="Times New Roman"/>
                <w:color w:val="000000"/>
                <w:sz w:val="20"/>
                <w:szCs w:val="20"/>
              </w:rPr>
            </w:pPr>
            <w:r>
              <w:rPr>
                <w:rFonts w:eastAsia="Times New Roman"/>
                <w:color w:val="000000"/>
                <w:sz w:val="20"/>
                <w:szCs w:val="20"/>
              </w:rPr>
              <w:t xml:space="preserve">Surse externe </w:t>
            </w:r>
          </w:p>
        </w:tc>
      </w:tr>
    </w:tbl>
    <w:p w:rsidR="00A0787B" w:rsidRDefault="00A0787B" w:rsidP="004E346F">
      <w:pPr>
        <w:rPr>
          <w:sz w:val="20"/>
          <w:szCs w:val="20"/>
        </w:rPr>
      </w:pPr>
    </w:p>
    <w:tbl>
      <w:tblPr>
        <w:tblW w:w="620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736"/>
      </w:tblGrid>
      <w:tr w:rsidR="00A0787B" w:rsidRPr="009C6550" w:rsidTr="00EB530B">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EB530B">
              <w:rPr>
                <w:rFonts w:eastAsia="Times New Roman"/>
                <w:b/>
                <w:color w:val="000000"/>
                <w:sz w:val="20"/>
                <w:szCs w:val="20"/>
              </w:rPr>
              <w:t>6</w:t>
            </w:r>
          </w:p>
        </w:tc>
        <w:tc>
          <w:tcPr>
            <w:tcW w:w="4736"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sidR="00EB530B">
              <w:rPr>
                <w:rFonts w:eastAsia="Times New Roman"/>
                <w:b/>
                <w:color w:val="000000"/>
                <w:sz w:val="20"/>
                <w:szCs w:val="20"/>
              </w:rPr>
              <w:t>6</w:t>
            </w:r>
            <w:r w:rsidRPr="009C6550">
              <w:rPr>
                <w:rFonts w:eastAsia="Times New Roman"/>
                <w:b/>
                <w:color w:val="000000"/>
                <w:sz w:val="20"/>
                <w:szCs w:val="20"/>
              </w:rPr>
              <w:t>_md</w:t>
            </w:r>
          </w:p>
        </w:tc>
      </w:tr>
      <w:tr w:rsidR="0080460C" w:rsidRPr="009C6550" w:rsidTr="00B3643F">
        <w:trPr>
          <w:trHeight w:val="255"/>
        </w:trPr>
        <w:tc>
          <w:tcPr>
            <w:tcW w:w="1472" w:type="dxa"/>
            <w:shd w:val="clear" w:color="auto" w:fill="auto"/>
            <w:vAlign w:val="bottom"/>
            <w:hideMark/>
          </w:tcPr>
          <w:p w:rsidR="0080460C" w:rsidRDefault="0080460C" w:rsidP="0080460C">
            <w:pPr>
              <w:rPr>
                <w:rFonts w:eastAsia="Times New Roman"/>
                <w:sz w:val="20"/>
                <w:szCs w:val="20"/>
              </w:rPr>
            </w:pPr>
            <w:r>
              <w:rPr>
                <w:sz w:val="20"/>
                <w:szCs w:val="20"/>
              </w:rPr>
              <w:t>1000</w:t>
            </w:r>
          </w:p>
        </w:tc>
        <w:tc>
          <w:tcPr>
            <w:tcW w:w="4736" w:type="dxa"/>
            <w:shd w:val="clear" w:color="auto" w:fill="auto"/>
            <w:vAlign w:val="bottom"/>
            <w:hideMark/>
          </w:tcPr>
          <w:p w:rsidR="0080460C" w:rsidRDefault="0080460C" w:rsidP="0080460C">
            <w:pPr>
              <w:rPr>
                <w:sz w:val="20"/>
                <w:szCs w:val="20"/>
              </w:rPr>
            </w:pPr>
            <w:r>
              <w:rPr>
                <w:sz w:val="20"/>
                <w:szCs w:val="20"/>
              </w:rPr>
              <w:t>Surse interne</w:t>
            </w:r>
          </w:p>
        </w:tc>
      </w:tr>
      <w:tr w:rsidR="0080460C" w:rsidRPr="009C6550" w:rsidTr="00B3643F">
        <w:trPr>
          <w:trHeight w:val="255"/>
        </w:trPr>
        <w:tc>
          <w:tcPr>
            <w:tcW w:w="1472" w:type="dxa"/>
            <w:shd w:val="clear" w:color="auto" w:fill="auto"/>
            <w:vAlign w:val="bottom"/>
            <w:hideMark/>
          </w:tcPr>
          <w:p w:rsidR="0080460C" w:rsidRDefault="0080460C" w:rsidP="0080460C">
            <w:pPr>
              <w:rPr>
                <w:sz w:val="20"/>
                <w:szCs w:val="20"/>
              </w:rPr>
            </w:pPr>
            <w:r>
              <w:rPr>
                <w:sz w:val="20"/>
                <w:szCs w:val="20"/>
              </w:rPr>
              <w:t>2055</w:t>
            </w:r>
          </w:p>
        </w:tc>
        <w:tc>
          <w:tcPr>
            <w:tcW w:w="4736" w:type="dxa"/>
            <w:shd w:val="clear" w:color="auto" w:fill="auto"/>
            <w:vAlign w:val="bottom"/>
            <w:hideMark/>
          </w:tcPr>
          <w:p w:rsidR="0080460C" w:rsidRDefault="0080460C" w:rsidP="0080460C">
            <w:pPr>
              <w:rPr>
                <w:sz w:val="20"/>
                <w:szCs w:val="20"/>
              </w:rPr>
            </w:pPr>
            <w:r>
              <w:rPr>
                <w:sz w:val="20"/>
                <w:szCs w:val="20"/>
              </w:rPr>
              <w:t>Comisia Europeana</w:t>
            </w:r>
          </w:p>
        </w:tc>
      </w:tr>
      <w:tr w:rsidR="0080460C" w:rsidRPr="009C6550" w:rsidTr="00B3643F">
        <w:trPr>
          <w:trHeight w:val="68"/>
        </w:trPr>
        <w:tc>
          <w:tcPr>
            <w:tcW w:w="1472" w:type="dxa"/>
            <w:shd w:val="clear" w:color="auto" w:fill="auto"/>
            <w:vAlign w:val="bottom"/>
            <w:hideMark/>
          </w:tcPr>
          <w:p w:rsidR="0080460C" w:rsidRDefault="0080460C" w:rsidP="0080460C">
            <w:pPr>
              <w:rPr>
                <w:sz w:val="20"/>
                <w:szCs w:val="20"/>
              </w:rPr>
            </w:pPr>
            <w:r>
              <w:rPr>
                <w:sz w:val="20"/>
                <w:szCs w:val="20"/>
              </w:rPr>
              <w:t>2069</w:t>
            </w:r>
          </w:p>
        </w:tc>
        <w:tc>
          <w:tcPr>
            <w:tcW w:w="4736" w:type="dxa"/>
            <w:shd w:val="clear" w:color="auto" w:fill="auto"/>
            <w:vAlign w:val="bottom"/>
            <w:hideMark/>
          </w:tcPr>
          <w:p w:rsidR="0080460C" w:rsidRDefault="0080460C" w:rsidP="0080460C">
            <w:pPr>
              <w:rPr>
                <w:sz w:val="20"/>
                <w:szCs w:val="20"/>
              </w:rPr>
            </w:pPr>
            <w:r>
              <w:rPr>
                <w:sz w:val="20"/>
                <w:szCs w:val="20"/>
              </w:rPr>
              <w:t>Programul Natiunilor Unite pentru Dezvoltare</w:t>
            </w:r>
          </w:p>
        </w:tc>
      </w:tr>
    </w:tbl>
    <w:p w:rsidR="00A0787B" w:rsidRDefault="00A0787B" w:rsidP="004E346F">
      <w:pPr>
        <w:rPr>
          <w:sz w:val="20"/>
          <w:szCs w:val="20"/>
        </w:rPr>
      </w:pPr>
    </w:p>
    <w:p w:rsidR="0080460C" w:rsidRDefault="0080460C" w:rsidP="004E346F">
      <w:pPr>
        <w:rPr>
          <w:sz w:val="20"/>
          <w:szCs w:val="20"/>
        </w:rPr>
      </w:pPr>
    </w:p>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122"/>
        <w:gridCol w:w="3895"/>
      </w:tblGrid>
      <w:tr w:rsidR="00A0787B" w:rsidRPr="009C6550" w:rsidTr="00044D0B">
        <w:trPr>
          <w:trHeight w:val="255"/>
        </w:trPr>
        <w:tc>
          <w:tcPr>
            <w:tcW w:w="147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w:t>
            </w:r>
            <w:r>
              <w:rPr>
                <w:rFonts w:eastAsia="Times New Roman"/>
                <w:b/>
                <w:color w:val="000000"/>
                <w:sz w:val="20"/>
                <w:szCs w:val="20"/>
              </w:rPr>
              <w:t>_old</w:t>
            </w:r>
          </w:p>
        </w:tc>
        <w:tc>
          <w:tcPr>
            <w:tcW w:w="4122"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fin_source_md</w:t>
            </w:r>
          </w:p>
        </w:tc>
        <w:tc>
          <w:tcPr>
            <w:tcW w:w="3895" w:type="dxa"/>
            <w:shd w:val="clear" w:color="auto" w:fill="BFBFBF" w:themeFill="background1" w:themeFillShade="BF"/>
            <w:hideMark/>
          </w:tcPr>
          <w:p w:rsidR="00A0787B" w:rsidRPr="009C6550" w:rsidRDefault="00A0787B" w:rsidP="00044D0B">
            <w:pPr>
              <w:rPr>
                <w:rFonts w:eastAsia="Times New Roman"/>
                <w:b/>
                <w:color w:val="000000"/>
                <w:sz w:val="20"/>
                <w:szCs w:val="20"/>
              </w:rPr>
            </w:pPr>
            <w:r w:rsidRPr="009C6550">
              <w:rPr>
                <w:rFonts w:eastAsia="Times New Roman"/>
                <w:b/>
                <w:color w:val="000000"/>
                <w:sz w:val="20"/>
                <w:szCs w:val="20"/>
              </w:rPr>
              <w:t>fin_source_en</w:t>
            </w:r>
          </w:p>
        </w:tc>
      </w:tr>
      <w:tr w:rsidR="00A0787B" w:rsidRPr="009C6550" w:rsidTr="00044D0B">
        <w:trPr>
          <w:trHeight w:val="255"/>
        </w:trPr>
        <w:tc>
          <w:tcPr>
            <w:tcW w:w="147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1</w:t>
            </w:r>
          </w:p>
        </w:tc>
        <w:tc>
          <w:tcPr>
            <w:tcW w:w="412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Componenta de baza</w:t>
            </w:r>
          </w:p>
        </w:tc>
        <w:tc>
          <w:tcPr>
            <w:tcW w:w="3895"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Base component</w:t>
            </w:r>
          </w:p>
        </w:tc>
      </w:tr>
      <w:tr w:rsidR="00A0787B" w:rsidRPr="009C6550" w:rsidTr="00044D0B">
        <w:trPr>
          <w:trHeight w:val="255"/>
        </w:trPr>
        <w:tc>
          <w:tcPr>
            <w:tcW w:w="147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2</w:t>
            </w:r>
          </w:p>
        </w:tc>
        <w:tc>
          <w:tcPr>
            <w:tcW w:w="412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Proiecte investitionale</w:t>
            </w:r>
          </w:p>
        </w:tc>
        <w:tc>
          <w:tcPr>
            <w:tcW w:w="3895"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Investment projects</w:t>
            </w:r>
          </w:p>
        </w:tc>
      </w:tr>
      <w:tr w:rsidR="00A0787B" w:rsidRPr="009C6550" w:rsidTr="00044D0B">
        <w:trPr>
          <w:trHeight w:val="68"/>
        </w:trPr>
        <w:tc>
          <w:tcPr>
            <w:tcW w:w="147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3</w:t>
            </w:r>
          </w:p>
        </w:tc>
        <w:tc>
          <w:tcPr>
            <w:tcW w:w="412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Fonduri speciale</w:t>
            </w:r>
          </w:p>
        </w:tc>
        <w:tc>
          <w:tcPr>
            <w:tcW w:w="3895"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Special funds</w:t>
            </w:r>
          </w:p>
        </w:tc>
      </w:tr>
      <w:tr w:rsidR="00A0787B" w:rsidRPr="009C6550" w:rsidTr="00044D0B">
        <w:trPr>
          <w:trHeight w:val="255"/>
        </w:trPr>
        <w:tc>
          <w:tcPr>
            <w:tcW w:w="147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4</w:t>
            </w:r>
          </w:p>
        </w:tc>
        <w:tc>
          <w:tcPr>
            <w:tcW w:w="4122"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Mijloace speciale</w:t>
            </w:r>
          </w:p>
        </w:tc>
        <w:tc>
          <w:tcPr>
            <w:tcW w:w="3895" w:type="dxa"/>
            <w:shd w:val="clear" w:color="auto" w:fill="auto"/>
            <w:hideMark/>
          </w:tcPr>
          <w:p w:rsidR="00A0787B" w:rsidRPr="009C6550" w:rsidRDefault="00A0787B" w:rsidP="00044D0B">
            <w:pPr>
              <w:rPr>
                <w:rFonts w:eastAsia="Times New Roman"/>
                <w:color w:val="000000"/>
                <w:sz w:val="20"/>
                <w:szCs w:val="20"/>
              </w:rPr>
            </w:pPr>
            <w:r w:rsidRPr="009C6550">
              <w:rPr>
                <w:rFonts w:eastAsia="Times New Roman"/>
                <w:color w:val="000000"/>
                <w:sz w:val="20"/>
                <w:szCs w:val="20"/>
              </w:rPr>
              <w:t>Special means</w:t>
            </w:r>
          </w:p>
        </w:tc>
      </w:tr>
    </w:tbl>
    <w:p w:rsidR="001D2CE3" w:rsidRDefault="001D2CE3" w:rsidP="004E346F">
      <w:pPr>
        <w:rPr>
          <w:sz w:val="20"/>
          <w:szCs w:val="20"/>
        </w:rPr>
      </w:pPr>
    </w:p>
    <w:p w:rsidR="001D2CE3" w:rsidRPr="009C6550" w:rsidRDefault="001D2CE3" w:rsidP="004E346F">
      <w:pPr>
        <w:rPr>
          <w:sz w:val="20"/>
          <w:szCs w:val="20"/>
        </w:rPr>
      </w:pPr>
    </w:p>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311"/>
        <w:gridCol w:w="4073"/>
      </w:tblGrid>
      <w:tr w:rsidR="00D83B1F" w:rsidRPr="009C6550" w:rsidTr="001B1A33">
        <w:trPr>
          <w:trHeight w:val="255"/>
        </w:trPr>
        <w:tc>
          <w:tcPr>
            <w:tcW w:w="1105"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exp_type</w:t>
            </w:r>
          </w:p>
        </w:tc>
        <w:tc>
          <w:tcPr>
            <w:tcW w:w="4311"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exp_type_md</w:t>
            </w:r>
          </w:p>
        </w:tc>
        <w:tc>
          <w:tcPr>
            <w:tcW w:w="4073"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exp_type_en</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1</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Personal</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Personnel</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2</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Curente nu personal</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Non-personnel recurrent</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3</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Capitale</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Capital</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4</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Alte</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Other</w:t>
            </w:r>
          </w:p>
        </w:tc>
      </w:tr>
    </w:tbl>
    <w:p w:rsidR="00733362" w:rsidRDefault="00733362" w:rsidP="004E346F"/>
    <w:tbl>
      <w:tblPr>
        <w:tblW w:w="948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311"/>
        <w:gridCol w:w="4073"/>
      </w:tblGrid>
      <w:tr w:rsidR="00D83B1F" w:rsidRPr="009C6550" w:rsidTr="001B1A33">
        <w:trPr>
          <w:trHeight w:val="255"/>
        </w:trPr>
        <w:tc>
          <w:tcPr>
            <w:tcW w:w="1105"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transfer</w:t>
            </w:r>
          </w:p>
        </w:tc>
        <w:tc>
          <w:tcPr>
            <w:tcW w:w="4311"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transfer_md</w:t>
            </w:r>
          </w:p>
        </w:tc>
        <w:tc>
          <w:tcPr>
            <w:tcW w:w="4073" w:type="dxa"/>
            <w:shd w:val="clear" w:color="auto" w:fill="BFBFBF" w:themeFill="background1" w:themeFillShade="BF"/>
            <w:hideMark/>
          </w:tcPr>
          <w:p w:rsidR="00D83B1F" w:rsidRPr="009C6550" w:rsidRDefault="00D83B1F" w:rsidP="001B1A33">
            <w:pPr>
              <w:rPr>
                <w:rFonts w:eastAsia="Times New Roman"/>
                <w:b/>
                <w:color w:val="000000"/>
                <w:sz w:val="20"/>
                <w:szCs w:val="20"/>
              </w:rPr>
            </w:pPr>
            <w:r w:rsidRPr="009C6550">
              <w:rPr>
                <w:rFonts w:eastAsia="Times New Roman"/>
                <w:b/>
                <w:color w:val="000000"/>
                <w:sz w:val="20"/>
                <w:szCs w:val="20"/>
              </w:rPr>
              <w:t>transfer_en</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0</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Cu exceptia transferurilor</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Excluding transfers</w:t>
            </w:r>
          </w:p>
        </w:tc>
      </w:tr>
      <w:tr w:rsidR="00D83B1F" w:rsidRPr="009C6550" w:rsidTr="001B1A33">
        <w:trPr>
          <w:trHeight w:val="255"/>
        </w:trPr>
        <w:tc>
          <w:tcPr>
            <w:tcW w:w="1105"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1</w:t>
            </w:r>
          </w:p>
        </w:tc>
        <w:tc>
          <w:tcPr>
            <w:tcW w:w="4311"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Transferuri intre bugetele</w:t>
            </w:r>
          </w:p>
        </w:tc>
        <w:tc>
          <w:tcPr>
            <w:tcW w:w="4073" w:type="dxa"/>
            <w:shd w:val="clear" w:color="auto" w:fill="auto"/>
            <w:hideMark/>
          </w:tcPr>
          <w:p w:rsidR="00D83B1F" w:rsidRPr="009C6550" w:rsidRDefault="00D83B1F" w:rsidP="001B1A33">
            <w:pPr>
              <w:rPr>
                <w:rFonts w:eastAsia="Times New Roman"/>
                <w:color w:val="000000"/>
                <w:sz w:val="20"/>
                <w:szCs w:val="20"/>
              </w:rPr>
            </w:pPr>
            <w:r w:rsidRPr="009C6550">
              <w:rPr>
                <w:rFonts w:eastAsia="Times New Roman"/>
                <w:color w:val="000000"/>
                <w:sz w:val="20"/>
                <w:szCs w:val="20"/>
              </w:rPr>
              <w:t>Intrabudgetary transfers</w:t>
            </w:r>
          </w:p>
        </w:tc>
      </w:tr>
    </w:tbl>
    <w:p w:rsidR="00D83B1F" w:rsidRPr="00265ACB" w:rsidRDefault="00D83B1F" w:rsidP="004E346F"/>
    <w:sectPr w:rsidR="00D83B1F" w:rsidRPr="00265ACB" w:rsidSect="00026BB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1B7" w:rsidRDefault="002471B7" w:rsidP="00732444">
      <w:r>
        <w:separator/>
      </w:r>
    </w:p>
  </w:endnote>
  <w:endnote w:type="continuationSeparator" w:id="0">
    <w:p w:rsidR="002471B7" w:rsidRDefault="002471B7" w:rsidP="0073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CE3" w:rsidRDefault="001D2CE3" w:rsidP="00E230C1">
    <w:pPr>
      <w:pStyle w:val="Footer"/>
      <w:tabs>
        <w:tab w:val="clear" w:pos="4680"/>
        <w:tab w:val="left" w:pos="0"/>
      </w:tabs>
    </w:pPr>
    <w:r w:rsidRPr="00E230C1">
      <w:rPr>
        <w:noProof/>
      </w:rPr>
      <w:drawing>
        <wp:inline distT="0" distB="0" distL="0" distR="0" wp14:anchorId="66166D6F" wp14:editId="05712E58">
          <wp:extent cx="1828800" cy="3322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28800" cy="332250"/>
                  </a:xfrm>
                  <a:prstGeom prst="rect">
                    <a:avLst/>
                  </a:prstGeom>
                  <a:noFill/>
                  <a:ln w="9525">
                    <a:noFill/>
                    <a:miter lim="800000"/>
                    <a:headEnd/>
                    <a:tailEnd/>
                  </a:ln>
                </pic:spPr>
              </pic:pic>
            </a:graphicData>
          </a:graphic>
        </wp:inline>
      </w:drawing>
    </w:r>
    <w:sdt>
      <w:sdtPr>
        <w:id w:val="1905644458"/>
        <w:docPartObj>
          <w:docPartGallery w:val="Page Numbers (Bottom of Page)"/>
          <w:docPartUnique/>
        </w:docPartObj>
      </w:sdtPr>
      <w:sdtContent>
        <w:r>
          <w:tab/>
        </w:r>
        <w:r>
          <w:fldChar w:fldCharType="begin"/>
        </w:r>
        <w:r>
          <w:instrText xml:space="preserve"> PAGE   \* MERGEFORMAT </w:instrText>
        </w:r>
        <w:r>
          <w:fldChar w:fldCharType="separate"/>
        </w:r>
        <w:r>
          <w:rPr>
            <w:noProof/>
          </w:rPr>
          <w:t>21</w:t>
        </w:r>
        <w:r>
          <w:rPr>
            <w:noProof/>
          </w:rPr>
          <w:fldChar w:fldCharType="end"/>
        </w:r>
      </w:sdtContent>
    </w:sdt>
  </w:p>
  <w:p w:rsidR="001D2CE3" w:rsidRDefault="001D2CE3" w:rsidP="001E3919">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CE3" w:rsidRDefault="001D2CE3">
    <w:pPr>
      <w:pStyle w:val="Footer"/>
      <w:jc w:val="right"/>
    </w:pPr>
  </w:p>
  <w:p w:rsidR="001D2CE3" w:rsidRDefault="001D2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1B7" w:rsidRDefault="002471B7" w:rsidP="00732444">
      <w:r>
        <w:separator/>
      </w:r>
    </w:p>
  </w:footnote>
  <w:footnote w:type="continuationSeparator" w:id="0">
    <w:p w:rsidR="002471B7" w:rsidRDefault="002471B7" w:rsidP="00732444">
      <w:r>
        <w:continuationSeparator/>
      </w:r>
    </w:p>
  </w:footnote>
  <w:footnote w:id="1">
    <w:p w:rsidR="001D2CE3" w:rsidRDefault="001D2CE3">
      <w:pPr>
        <w:pStyle w:val="FootnoteText"/>
      </w:pPr>
      <w:r>
        <w:rPr>
          <w:rStyle w:val="FootnoteReference"/>
        </w:rPr>
        <w:footnoteRef/>
      </w:r>
      <w:r>
        <w:t xml:space="preserve"> For further information about the order, please consult </w:t>
      </w:r>
      <w:hyperlink r:id="rId1" w:history="1">
        <w:r w:rsidRPr="000610E4">
          <w:rPr>
            <w:rStyle w:val="Hyperlink"/>
          </w:rPr>
          <w:t>http://lex.justice.md/md/362651/</w:t>
        </w:r>
      </w:hyperlink>
      <w:r>
        <w:t xml:space="preserve">.  </w:t>
      </w:r>
    </w:p>
  </w:footnote>
  <w:footnote w:id="2">
    <w:p w:rsidR="001D2CE3" w:rsidRDefault="001D2CE3">
      <w:pPr>
        <w:pStyle w:val="FootnoteText"/>
      </w:pPr>
      <w:r>
        <w:rPr>
          <w:rStyle w:val="FootnoteReference"/>
        </w:rPr>
        <w:footnoteRef/>
      </w:r>
      <w:r>
        <w:t xml:space="preserve"> The table describes the new structure of the Moldova BOOST database which is consistent with the new budget classification effective as of 2016 unless indicated otherwise. </w:t>
      </w:r>
    </w:p>
  </w:footnote>
  <w:footnote w:id="3">
    <w:p w:rsidR="001D2CE3" w:rsidRDefault="001D2CE3">
      <w:pPr>
        <w:pStyle w:val="FootnoteText"/>
      </w:pPr>
      <w:r>
        <w:rPr>
          <w:rStyle w:val="FootnoteReference"/>
        </w:rPr>
        <w:footnoteRef/>
      </w:r>
      <w:r>
        <w:t xml:space="preserve"> There were significant changes in the administrative classification at the individual spending unit level over the period of 2011-2015. Some additional data manipulations have been made to harmozise the admin5 value labels overtime. Therefore, there might be some observations/spending units that have the same budget codes and different value labels for different years. This is particularly the case for educational facilities and social assistance budget institutions. </w:t>
      </w:r>
    </w:p>
  </w:footnote>
  <w:footnote w:id="4">
    <w:p w:rsidR="001D2CE3" w:rsidRDefault="001D2CE3">
      <w:pPr>
        <w:pStyle w:val="FootnoteText"/>
      </w:pPr>
      <w:r>
        <w:rPr>
          <w:rStyle w:val="FootnoteReference"/>
        </w:rPr>
        <w:footnoteRef/>
      </w:r>
      <w:r>
        <w:t xml:space="preserve"> For more information on Excel PivotTables, please consult the help function in Microsoft Excel or this helpful overview of the Microsoft website: </w:t>
      </w:r>
      <w:hyperlink r:id="rId2" w:history="1">
        <w:r>
          <w:rPr>
            <w:rStyle w:val="Hyperlink"/>
          </w:rPr>
          <w:t>http://office.microsoft.com/en-us/excel-help/overview-of-pivottable-and-pivotchart-reports-HP010177384.aspx</w:t>
        </w:r>
      </w:hyperlink>
      <w:r>
        <w:t>.</w:t>
      </w:r>
    </w:p>
    <w:p w:rsidR="001D2CE3" w:rsidRDefault="001D2CE3">
      <w:pPr>
        <w:pStyle w:val="FootnoteText"/>
      </w:pPr>
    </w:p>
  </w:footnote>
  <w:footnote w:id="5">
    <w:p w:rsidR="001D2CE3" w:rsidRDefault="001D2CE3">
      <w:pPr>
        <w:pStyle w:val="FootnoteText"/>
      </w:pPr>
      <w:r w:rsidRPr="00E57312">
        <w:rPr>
          <w:rStyle w:val="FootnoteReference"/>
        </w:rPr>
        <w:footnoteRef/>
      </w:r>
      <w:r w:rsidRPr="00E57312">
        <w:t xml:space="preserve"> </w:t>
      </w:r>
      <w:r>
        <w:t>The minimum technical requirements for using the Moldova BOOST government expenditure database are as follows: (i) a computer with at least 1 GB of RAM (2 GB preferred); (ii) Microsoft Excel version 2007 or later (or similar database software that allows loading of files with at least one million lines of data).</w:t>
      </w:r>
    </w:p>
    <w:p w:rsidR="001D2CE3" w:rsidRPr="00E57312" w:rsidRDefault="001D2CE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148A"/>
    <w:multiLevelType w:val="hybridMultilevel"/>
    <w:tmpl w:val="640ED0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2A1620"/>
    <w:multiLevelType w:val="hybridMultilevel"/>
    <w:tmpl w:val="1EB8D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4B019C"/>
    <w:multiLevelType w:val="multilevel"/>
    <w:tmpl w:val="FE884D90"/>
    <w:lvl w:ilvl="0">
      <w:start w:val="5"/>
      <w:numFmt w:val="decimal"/>
      <w:lvlText w:val="%1"/>
      <w:lvlJc w:val="left"/>
      <w:pPr>
        <w:ind w:left="360" w:hanging="360"/>
      </w:pPr>
      <w:rPr>
        <w:rFonts w:eastAsia="Calibri" w:hint="default"/>
        <w:color w:val="0000FF" w:themeColor="hyperlink"/>
        <w:sz w:val="24"/>
        <w:u w:val="single"/>
      </w:rPr>
    </w:lvl>
    <w:lvl w:ilvl="1">
      <w:start w:val="2"/>
      <w:numFmt w:val="decimal"/>
      <w:lvlText w:val="%1.%2"/>
      <w:lvlJc w:val="left"/>
      <w:pPr>
        <w:ind w:left="600" w:hanging="360"/>
      </w:pPr>
      <w:rPr>
        <w:rFonts w:eastAsia="Calibri" w:hint="default"/>
        <w:color w:val="0000FF" w:themeColor="hyperlink"/>
        <w:sz w:val="24"/>
        <w:u w:val="single"/>
      </w:rPr>
    </w:lvl>
    <w:lvl w:ilvl="2">
      <w:start w:val="1"/>
      <w:numFmt w:val="decimal"/>
      <w:lvlText w:val="%1.%2.%3"/>
      <w:lvlJc w:val="left"/>
      <w:pPr>
        <w:ind w:left="1200" w:hanging="720"/>
      </w:pPr>
      <w:rPr>
        <w:rFonts w:eastAsia="Calibri" w:hint="default"/>
        <w:color w:val="0000FF" w:themeColor="hyperlink"/>
        <w:sz w:val="24"/>
        <w:u w:val="single"/>
      </w:rPr>
    </w:lvl>
    <w:lvl w:ilvl="3">
      <w:start w:val="1"/>
      <w:numFmt w:val="decimal"/>
      <w:lvlText w:val="%1.%2.%3.%4"/>
      <w:lvlJc w:val="left"/>
      <w:pPr>
        <w:ind w:left="1440" w:hanging="720"/>
      </w:pPr>
      <w:rPr>
        <w:rFonts w:eastAsia="Calibri" w:hint="default"/>
        <w:color w:val="0000FF" w:themeColor="hyperlink"/>
        <w:sz w:val="24"/>
        <w:u w:val="single"/>
      </w:rPr>
    </w:lvl>
    <w:lvl w:ilvl="4">
      <w:start w:val="1"/>
      <w:numFmt w:val="decimal"/>
      <w:lvlText w:val="%1.%2.%3.%4.%5"/>
      <w:lvlJc w:val="left"/>
      <w:pPr>
        <w:ind w:left="2040" w:hanging="1080"/>
      </w:pPr>
      <w:rPr>
        <w:rFonts w:eastAsia="Calibri" w:hint="default"/>
        <w:color w:val="0000FF" w:themeColor="hyperlink"/>
        <w:sz w:val="24"/>
        <w:u w:val="single"/>
      </w:rPr>
    </w:lvl>
    <w:lvl w:ilvl="5">
      <w:start w:val="1"/>
      <w:numFmt w:val="decimal"/>
      <w:lvlText w:val="%1.%2.%3.%4.%5.%6"/>
      <w:lvlJc w:val="left"/>
      <w:pPr>
        <w:ind w:left="2280" w:hanging="1080"/>
      </w:pPr>
      <w:rPr>
        <w:rFonts w:eastAsia="Calibri" w:hint="default"/>
        <w:color w:val="0000FF" w:themeColor="hyperlink"/>
        <w:sz w:val="24"/>
        <w:u w:val="single"/>
      </w:rPr>
    </w:lvl>
    <w:lvl w:ilvl="6">
      <w:start w:val="1"/>
      <w:numFmt w:val="decimal"/>
      <w:lvlText w:val="%1.%2.%3.%4.%5.%6.%7"/>
      <w:lvlJc w:val="left"/>
      <w:pPr>
        <w:ind w:left="2880" w:hanging="1440"/>
      </w:pPr>
      <w:rPr>
        <w:rFonts w:eastAsia="Calibri" w:hint="default"/>
        <w:color w:val="0000FF" w:themeColor="hyperlink"/>
        <w:sz w:val="24"/>
        <w:u w:val="single"/>
      </w:rPr>
    </w:lvl>
    <w:lvl w:ilvl="7">
      <w:start w:val="1"/>
      <w:numFmt w:val="decimal"/>
      <w:lvlText w:val="%1.%2.%3.%4.%5.%6.%7.%8"/>
      <w:lvlJc w:val="left"/>
      <w:pPr>
        <w:ind w:left="3120" w:hanging="1440"/>
      </w:pPr>
      <w:rPr>
        <w:rFonts w:eastAsia="Calibri" w:hint="default"/>
        <w:color w:val="0000FF" w:themeColor="hyperlink"/>
        <w:sz w:val="24"/>
        <w:u w:val="single"/>
      </w:rPr>
    </w:lvl>
    <w:lvl w:ilvl="8">
      <w:start w:val="1"/>
      <w:numFmt w:val="decimal"/>
      <w:lvlText w:val="%1.%2.%3.%4.%5.%6.%7.%8.%9"/>
      <w:lvlJc w:val="left"/>
      <w:pPr>
        <w:ind w:left="3720" w:hanging="1800"/>
      </w:pPr>
      <w:rPr>
        <w:rFonts w:eastAsia="Calibri" w:hint="default"/>
        <w:color w:val="0000FF" w:themeColor="hyperlink"/>
        <w:sz w:val="24"/>
        <w:u w:val="single"/>
      </w:rPr>
    </w:lvl>
  </w:abstractNum>
  <w:abstractNum w:abstractNumId="3" w15:restartNumberingAfterBreak="0">
    <w:nsid w:val="1A41606D"/>
    <w:multiLevelType w:val="hybridMultilevel"/>
    <w:tmpl w:val="EB7CA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740F97"/>
    <w:multiLevelType w:val="hybridMultilevel"/>
    <w:tmpl w:val="89761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436CE9"/>
    <w:multiLevelType w:val="hybridMultilevel"/>
    <w:tmpl w:val="E3167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5953A4"/>
    <w:multiLevelType w:val="hybridMultilevel"/>
    <w:tmpl w:val="1CD21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601799"/>
    <w:multiLevelType w:val="hybridMultilevel"/>
    <w:tmpl w:val="140A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C12A0"/>
    <w:multiLevelType w:val="hybridMultilevel"/>
    <w:tmpl w:val="80B0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BF638D"/>
    <w:multiLevelType w:val="hybridMultilevel"/>
    <w:tmpl w:val="800CD83C"/>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8C4A77"/>
    <w:multiLevelType w:val="hybridMultilevel"/>
    <w:tmpl w:val="D522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341F3"/>
    <w:multiLevelType w:val="hybridMultilevel"/>
    <w:tmpl w:val="386CE0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9830BF0"/>
    <w:multiLevelType w:val="hybridMultilevel"/>
    <w:tmpl w:val="4942C8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F307BD"/>
    <w:multiLevelType w:val="hybridMultilevel"/>
    <w:tmpl w:val="2CCA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9"/>
  </w:num>
  <w:num w:numId="5">
    <w:abstractNumId w:val="3"/>
  </w:num>
  <w:num w:numId="6">
    <w:abstractNumId w:val="4"/>
  </w:num>
  <w:num w:numId="7">
    <w:abstractNumId w:val="13"/>
  </w:num>
  <w:num w:numId="8">
    <w:abstractNumId w:val="6"/>
  </w:num>
  <w:num w:numId="9">
    <w:abstractNumId w:val="2"/>
  </w:num>
  <w:num w:numId="10">
    <w:abstractNumId w:val="7"/>
  </w:num>
  <w:num w:numId="11">
    <w:abstractNumId w:val="10"/>
  </w:num>
  <w:num w:numId="12">
    <w:abstractNumId w:val="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hideSpellingErrors/>
  <w:proofState w:grammar="clean"/>
  <w:defaultTabStop w:val="708"/>
  <w:hyphenationZone w:val="425"/>
  <w:drawingGridHorizontalSpacing w:val="120"/>
  <w:displayHorizontalDrawingGridEvery w:val="2"/>
  <w:characterSpacingControl w:val="doNotCompress"/>
  <w:hdrShapeDefaults>
    <o:shapedefaults v:ext="edit" spidmax="2049">
      <v:stroke weight="7.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C6A"/>
    <w:rsid w:val="000029A4"/>
    <w:rsid w:val="0000347C"/>
    <w:rsid w:val="0002191F"/>
    <w:rsid w:val="00026BBE"/>
    <w:rsid w:val="00037AE4"/>
    <w:rsid w:val="00050C65"/>
    <w:rsid w:val="00050DFD"/>
    <w:rsid w:val="000519CC"/>
    <w:rsid w:val="000676D8"/>
    <w:rsid w:val="000775D8"/>
    <w:rsid w:val="00086B2F"/>
    <w:rsid w:val="00094C6C"/>
    <w:rsid w:val="00096552"/>
    <w:rsid w:val="00096600"/>
    <w:rsid w:val="00096EE2"/>
    <w:rsid w:val="000A14A0"/>
    <w:rsid w:val="000B2DE4"/>
    <w:rsid w:val="000B68A4"/>
    <w:rsid w:val="000C1615"/>
    <w:rsid w:val="000C7D4B"/>
    <w:rsid w:val="000D145F"/>
    <w:rsid w:val="000D7954"/>
    <w:rsid w:val="000E0F93"/>
    <w:rsid w:val="000E25A2"/>
    <w:rsid w:val="000E4BBA"/>
    <w:rsid w:val="000E65B1"/>
    <w:rsid w:val="000F15C7"/>
    <w:rsid w:val="000F2162"/>
    <w:rsid w:val="000F2882"/>
    <w:rsid w:val="000F5146"/>
    <w:rsid w:val="001006CE"/>
    <w:rsid w:val="001018BA"/>
    <w:rsid w:val="00110AE9"/>
    <w:rsid w:val="001113EB"/>
    <w:rsid w:val="00117F63"/>
    <w:rsid w:val="00120F1E"/>
    <w:rsid w:val="0012378A"/>
    <w:rsid w:val="00123EFC"/>
    <w:rsid w:val="00124BC3"/>
    <w:rsid w:val="001269AF"/>
    <w:rsid w:val="00127DF2"/>
    <w:rsid w:val="0013175D"/>
    <w:rsid w:val="00134B84"/>
    <w:rsid w:val="0013564D"/>
    <w:rsid w:val="00136A0A"/>
    <w:rsid w:val="00137CC9"/>
    <w:rsid w:val="00145CDA"/>
    <w:rsid w:val="00147861"/>
    <w:rsid w:val="00163E01"/>
    <w:rsid w:val="00170609"/>
    <w:rsid w:val="0017391E"/>
    <w:rsid w:val="001B1A33"/>
    <w:rsid w:val="001B6791"/>
    <w:rsid w:val="001D103B"/>
    <w:rsid w:val="001D2CE3"/>
    <w:rsid w:val="001D3015"/>
    <w:rsid w:val="001D65B9"/>
    <w:rsid w:val="001E15BE"/>
    <w:rsid w:val="001E16BE"/>
    <w:rsid w:val="001E3919"/>
    <w:rsid w:val="001E4BC9"/>
    <w:rsid w:val="001F1878"/>
    <w:rsid w:val="001F491C"/>
    <w:rsid w:val="001F4B78"/>
    <w:rsid w:val="002109E3"/>
    <w:rsid w:val="002147F2"/>
    <w:rsid w:val="00217708"/>
    <w:rsid w:val="00220AFB"/>
    <w:rsid w:val="00223D79"/>
    <w:rsid w:val="00225F08"/>
    <w:rsid w:val="0022704A"/>
    <w:rsid w:val="0023507B"/>
    <w:rsid w:val="00235EDB"/>
    <w:rsid w:val="00237C6E"/>
    <w:rsid w:val="0024625D"/>
    <w:rsid w:val="002471B7"/>
    <w:rsid w:val="00250202"/>
    <w:rsid w:val="002504F9"/>
    <w:rsid w:val="00253F34"/>
    <w:rsid w:val="00256B29"/>
    <w:rsid w:val="00257D86"/>
    <w:rsid w:val="00263005"/>
    <w:rsid w:val="00265ACB"/>
    <w:rsid w:val="002744E4"/>
    <w:rsid w:val="00285951"/>
    <w:rsid w:val="00286B3F"/>
    <w:rsid w:val="002A5806"/>
    <w:rsid w:val="002A5C01"/>
    <w:rsid w:val="002B0C0A"/>
    <w:rsid w:val="002B2DF6"/>
    <w:rsid w:val="002B3C32"/>
    <w:rsid w:val="002B4CB8"/>
    <w:rsid w:val="002C085D"/>
    <w:rsid w:val="002C6E60"/>
    <w:rsid w:val="002D31A0"/>
    <w:rsid w:val="002D7A12"/>
    <w:rsid w:val="002E1B5E"/>
    <w:rsid w:val="002E2CB2"/>
    <w:rsid w:val="002E54DA"/>
    <w:rsid w:val="002F0037"/>
    <w:rsid w:val="002F6621"/>
    <w:rsid w:val="00303F06"/>
    <w:rsid w:val="0030412D"/>
    <w:rsid w:val="0030460C"/>
    <w:rsid w:val="00304765"/>
    <w:rsid w:val="00312EFE"/>
    <w:rsid w:val="00323CF6"/>
    <w:rsid w:val="00330EC0"/>
    <w:rsid w:val="003337E6"/>
    <w:rsid w:val="00343FA4"/>
    <w:rsid w:val="0034520A"/>
    <w:rsid w:val="00345833"/>
    <w:rsid w:val="003547AD"/>
    <w:rsid w:val="00355704"/>
    <w:rsid w:val="003610E2"/>
    <w:rsid w:val="003639B7"/>
    <w:rsid w:val="00363CF2"/>
    <w:rsid w:val="003756A3"/>
    <w:rsid w:val="00380FC8"/>
    <w:rsid w:val="003842F2"/>
    <w:rsid w:val="00386A72"/>
    <w:rsid w:val="003938C6"/>
    <w:rsid w:val="00393A33"/>
    <w:rsid w:val="0039437B"/>
    <w:rsid w:val="00394543"/>
    <w:rsid w:val="00395132"/>
    <w:rsid w:val="00395D20"/>
    <w:rsid w:val="003A1318"/>
    <w:rsid w:val="003A1A89"/>
    <w:rsid w:val="003A7AC6"/>
    <w:rsid w:val="003B48FB"/>
    <w:rsid w:val="003C040E"/>
    <w:rsid w:val="003C101E"/>
    <w:rsid w:val="003D3E43"/>
    <w:rsid w:val="003E0CA1"/>
    <w:rsid w:val="003E6AD0"/>
    <w:rsid w:val="004014E2"/>
    <w:rsid w:val="00402866"/>
    <w:rsid w:val="00404679"/>
    <w:rsid w:val="00410F48"/>
    <w:rsid w:val="004173DD"/>
    <w:rsid w:val="00420C73"/>
    <w:rsid w:val="00423A5B"/>
    <w:rsid w:val="00430550"/>
    <w:rsid w:val="004422D4"/>
    <w:rsid w:val="00444380"/>
    <w:rsid w:val="004448BF"/>
    <w:rsid w:val="004479F5"/>
    <w:rsid w:val="0045030E"/>
    <w:rsid w:val="00454182"/>
    <w:rsid w:val="00454E5D"/>
    <w:rsid w:val="0046191F"/>
    <w:rsid w:val="00466023"/>
    <w:rsid w:val="00467A78"/>
    <w:rsid w:val="00471ACE"/>
    <w:rsid w:val="00472F4E"/>
    <w:rsid w:val="00475FA8"/>
    <w:rsid w:val="0047605F"/>
    <w:rsid w:val="0047792E"/>
    <w:rsid w:val="00482432"/>
    <w:rsid w:val="00482933"/>
    <w:rsid w:val="00492E86"/>
    <w:rsid w:val="00495BB3"/>
    <w:rsid w:val="004A03C1"/>
    <w:rsid w:val="004A7237"/>
    <w:rsid w:val="004B4D51"/>
    <w:rsid w:val="004C0C53"/>
    <w:rsid w:val="004D088C"/>
    <w:rsid w:val="004D3571"/>
    <w:rsid w:val="004D5065"/>
    <w:rsid w:val="004E2581"/>
    <w:rsid w:val="004E30F5"/>
    <w:rsid w:val="004E346F"/>
    <w:rsid w:val="004E3C5C"/>
    <w:rsid w:val="004E78F4"/>
    <w:rsid w:val="004F6CD2"/>
    <w:rsid w:val="005000FE"/>
    <w:rsid w:val="00504662"/>
    <w:rsid w:val="00504E58"/>
    <w:rsid w:val="0050650F"/>
    <w:rsid w:val="005069AD"/>
    <w:rsid w:val="00507A34"/>
    <w:rsid w:val="00516F35"/>
    <w:rsid w:val="00517634"/>
    <w:rsid w:val="00522720"/>
    <w:rsid w:val="0052296D"/>
    <w:rsid w:val="00533A64"/>
    <w:rsid w:val="00535CE3"/>
    <w:rsid w:val="005426C5"/>
    <w:rsid w:val="00542E9A"/>
    <w:rsid w:val="005537AC"/>
    <w:rsid w:val="005600CB"/>
    <w:rsid w:val="005606FC"/>
    <w:rsid w:val="00562508"/>
    <w:rsid w:val="0057247D"/>
    <w:rsid w:val="00577173"/>
    <w:rsid w:val="0058136F"/>
    <w:rsid w:val="00581EE8"/>
    <w:rsid w:val="00586821"/>
    <w:rsid w:val="00586D65"/>
    <w:rsid w:val="005922EA"/>
    <w:rsid w:val="005A06E9"/>
    <w:rsid w:val="005A4940"/>
    <w:rsid w:val="005B05FC"/>
    <w:rsid w:val="005B6A6E"/>
    <w:rsid w:val="005C3B75"/>
    <w:rsid w:val="005D5AAA"/>
    <w:rsid w:val="005D737A"/>
    <w:rsid w:val="005E19C6"/>
    <w:rsid w:val="005F1CB2"/>
    <w:rsid w:val="006041EC"/>
    <w:rsid w:val="006054FC"/>
    <w:rsid w:val="00605FEC"/>
    <w:rsid w:val="00611573"/>
    <w:rsid w:val="0061502E"/>
    <w:rsid w:val="00615C6A"/>
    <w:rsid w:val="006160FC"/>
    <w:rsid w:val="00627BD6"/>
    <w:rsid w:val="00632ADF"/>
    <w:rsid w:val="00632C0D"/>
    <w:rsid w:val="00635F24"/>
    <w:rsid w:val="00636754"/>
    <w:rsid w:val="0063730D"/>
    <w:rsid w:val="0064707B"/>
    <w:rsid w:val="00651DCD"/>
    <w:rsid w:val="00651F9B"/>
    <w:rsid w:val="006625AB"/>
    <w:rsid w:val="006627BD"/>
    <w:rsid w:val="00663D7D"/>
    <w:rsid w:val="00667961"/>
    <w:rsid w:val="006721C8"/>
    <w:rsid w:val="0067370F"/>
    <w:rsid w:val="00675831"/>
    <w:rsid w:val="00677269"/>
    <w:rsid w:val="006833D2"/>
    <w:rsid w:val="00690FB4"/>
    <w:rsid w:val="006970AC"/>
    <w:rsid w:val="006A0358"/>
    <w:rsid w:val="006A0AF6"/>
    <w:rsid w:val="006A18CF"/>
    <w:rsid w:val="006A3383"/>
    <w:rsid w:val="006A51C1"/>
    <w:rsid w:val="006B1A99"/>
    <w:rsid w:val="006B663A"/>
    <w:rsid w:val="006B6A89"/>
    <w:rsid w:val="006B77EF"/>
    <w:rsid w:val="006C176A"/>
    <w:rsid w:val="006C603F"/>
    <w:rsid w:val="006E0ADE"/>
    <w:rsid w:val="006E51F3"/>
    <w:rsid w:val="006F0ABF"/>
    <w:rsid w:val="006F1D6F"/>
    <w:rsid w:val="006F2CB3"/>
    <w:rsid w:val="006F5825"/>
    <w:rsid w:val="007126FE"/>
    <w:rsid w:val="00720915"/>
    <w:rsid w:val="00724516"/>
    <w:rsid w:val="00725BF1"/>
    <w:rsid w:val="0073195D"/>
    <w:rsid w:val="00732444"/>
    <w:rsid w:val="00733362"/>
    <w:rsid w:val="00733E5F"/>
    <w:rsid w:val="007450E8"/>
    <w:rsid w:val="007526C8"/>
    <w:rsid w:val="00753A63"/>
    <w:rsid w:val="007558DA"/>
    <w:rsid w:val="00757B3D"/>
    <w:rsid w:val="00757F64"/>
    <w:rsid w:val="007648CB"/>
    <w:rsid w:val="00764BDC"/>
    <w:rsid w:val="00764D50"/>
    <w:rsid w:val="00766086"/>
    <w:rsid w:val="0078109F"/>
    <w:rsid w:val="007934F4"/>
    <w:rsid w:val="00796484"/>
    <w:rsid w:val="00797339"/>
    <w:rsid w:val="007A13EA"/>
    <w:rsid w:val="007A1C2B"/>
    <w:rsid w:val="007A56C4"/>
    <w:rsid w:val="007A6657"/>
    <w:rsid w:val="007B0D78"/>
    <w:rsid w:val="007B6720"/>
    <w:rsid w:val="007B6B8B"/>
    <w:rsid w:val="007C0983"/>
    <w:rsid w:val="007C29EA"/>
    <w:rsid w:val="007C48E8"/>
    <w:rsid w:val="007C61DF"/>
    <w:rsid w:val="007D1CA9"/>
    <w:rsid w:val="007D36CA"/>
    <w:rsid w:val="007D4284"/>
    <w:rsid w:val="007D530B"/>
    <w:rsid w:val="007E3F88"/>
    <w:rsid w:val="007E4E8C"/>
    <w:rsid w:val="007E6916"/>
    <w:rsid w:val="007F7B87"/>
    <w:rsid w:val="008041C2"/>
    <w:rsid w:val="0080460C"/>
    <w:rsid w:val="00820ABD"/>
    <w:rsid w:val="008213AD"/>
    <w:rsid w:val="008238E9"/>
    <w:rsid w:val="008345B7"/>
    <w:rsid w:val="008377F1"/>
    <w:rsid w:val="00837ABA"/>
    <w:rsid w:val="00841FFC"/>
    <w:rsid w:val="00842919"/>
    <w:rsid w:val="00855DD6"/>
    <w:rsid w:val="008641F3"/>
    <w:rsid w:val="00874077"/>
    <w:rsid w:val="00876457"/>
    <w:rsid w:val="00877F96"/>
    <w:rsid w:val="0088178E"/>
    <w:rsid w:val="008818A6"/>
    <w:rsid w:val="00895176"/>
    <w:rsid w:val="008A0D22"/>
    <w:rsid w:val="008A1F59"/>
    <w:rsid w:val="008A3E99"/>
    <w:rsid w:val="008B0319"/>
    <w:rsid w:val="008B4916"/>
    <w:rsid w:val="008C13F3"/>
    <w:rsid w:val="008C193B"/>
    <w:rsid w:val="008C63CF"/>
    <w:rsid w:val="008D2804"/>
    <w:rsid w:val="008D2A6B"/>
    <w:rsid w:val="008D4A65"/>
    <w:rsid w:val="008E019A"/>
    <w:rsid w:val="008F7B9A"/>
    <w:rsid w:val="00904E3A"/>
    <w:rsid w:val="0090517B"/>
    <w:rsid w:val="00914EF4"/>
    <w:rsid w:val="00920017"/>
    <w:rsid w:val="009213F0"/>
    <w:rsid w:val="00924424"/>
    <w:rsid w:val="0092527D"/>
    <w:rsid w:val="00925404"/>
    <w:rsid w:val="009408D3"/>
    <w:rsid w:val="0095500B"/>
    <w:rsid w:val="00960935"/>
    <w:rsid w:val="00966EA7"/>
    <w:rsid w:val="009723C0"/>
    <w:rsid w:val="00973E54"/>
    <w:rsid w:val="00974615"/>
    <w:rsid w:val="0097469A"/>
    <w:rsid w:val="009808AA"/>
    <w:rsid w:val="009926E0"/>
    <w:rsid w:val="0099395B"/>
    <w:rsid w:val="009A12C4"/>
    <w:rsid w:val="009B01BF"/>
    <w:rsid w:val="009B09E6"/>
    <w:rsid w:val="009B1063"/>
    <w:rsid w:val="009B1F81"/>
    <w:rsid w:val="009B3F83"/>
    <w:rsid w:val="009B3FA7"/>
    <w:rsid w:val="009B40D7"/>
    <w:rsid w:val="009B40EA"/>
    <w:rsid w:val="009B6F55"/>
    <w:rsid w:val="009B7A8D"/>
    <w:rsid w:val="009C07CB"/>
    <w:rsid w:val="009C7728"/>
    <w:rsid w:val="009D52AC"/>
    <w:rsid w:val="009D668A"/>
    <w:rsid w:val="009E4B9B"/>
    <w:rsid w:val="009E6B29"/>
    <w:rsid w:val="009F0719"/>
    <w:rsid w:val="009F520C"/>
    <w:rsid w:val="00A001A4"/>
    <w:rsid w:val="00A01C55"/>
    <w:rsid w:val="00A03A72"/>
    <w:rsid w:val="00A04099"/>
    <w:rsid w:val="00A046C2"/>
    <w:rsid w:val="00A0787B"/>
    <w:rsid w:val="00A12D42"/>
    <w:rsid w:val="00A15F63"/>
    <w:rsid w:val="00A17210"/>
    <w:rsid w:val="00A174D7"/>
    <w:rsid w:val="00A205B0"/>
    <w:rsid w:val="00A3378E"/>
    <w:rsid w:val="00A36F0D"/>
    <w:rsid w:val="00A50C5B"/>
    <w:rsid w:val="00A60542"/>
    <w:rsid w:val="00A64E41"/>
    <w:rsid w:val="00A66831"/>
    <w:rsid w:val="00A70BF6"/>
    <w:rsid w:val="00A7707A"/>
    <w:rsid w:val="00A90B55"/>
    <w:rsid w:val="00A91259"/>
    <w:rsid w:val="00A97813"/>
    <w:rsid w:val="00AA0643"/>
    <w:rsid w:val="00AA1236"/>
    <w:rsid w:val="00AA70B4"/>
    <w:rsid w:val="00AA72F6"/>
    <w:rsid w:val="00AB18ED"/>
    <w:rsid w:val="00AC0024"/>
    <w:rsid w:val="00AC1CF3"/>
    <w:rsid w:val="00AD7BF6"/>
    <w:rsid w:val="00AF21A0"/>
    <w:rsid w:val="00AF28F5"/>
    <w:rsid w:val="00B02016"/>
    <w:rsid w:val="00B10EF6"/>
    <w:rsid w:val="00B11704"/>
    <w:rsid w:val="00B22C70"/>
    <w:rsid w:val="00B34B8A"/>
    <w:rsid w:val="00B35CB7"/>
    <w:rsid w:val="00B379DF"/>
    <w:rsid w:val="00B513E7"/>
    <w:rsid w:val="00B64B49"/>
    <w:rsid w:val="00B66910"/>
    <w:rsid w:val="00B7199A"/>
    <w:rsid w:val="00B720AF"/>
    <w:rsid w:val="00B736EF"/>
    <w:rsid w:val="00B84108"/>
    <w:rsid w:val="00B861C7"/>
    <w:rsid w:val="00B94200"/>
    <w:rsid w:val="00B958B8"/>
    <w:rsid w:val="00BA51CD"/>
    <w:rsid w:val="00BA6F1E"/>
    <w:rsid w:val="00BB2C12"/>
    <w:rsid w:val="00BB3F07"/>
    <w:rsid w:val="00BB4907"/>
    <w:rsid w:val="00BB580B"/>
    <w:rsid w:val="00BB584E"/>
    <w:rsid w:val="00BD1382"/>
    <w:rsid w:val="00BD2458"/>
    <w:rsid w:val="00BD51ED"/>
    <w:rsid w:val="00BE18F9"/>
    <w:rsid w:val="00BE587B"/>
    <w:rsid w:val="00BE667D"/>
    <w:rsid w:val="00BE7538"/>
    <w:rsid w:val="00BF3D0D"/>
    <w:rsid w:val="00BF6D8F"/>
    <w:rsid w:val="00C07360"/>
    <w:rsid w:val="00C10D0F"/>
    <w:rsid w:val="00C1181E"/>
    <w:rsid w:val="00C11D94"/>
    <w:rsid w:val="00C16D11"/>
    <w:rsid w:val="00C17E14"/>
    <w:rsid w:val="00C2334A"/>
    <w:rsid w:val="00C2762F"/>
    <w:rsid w:val="00C2799F"/>
    <w:rsid w:val="00C35383"/>
    <w:rsid w:val="00C364AE"/>
    <w:rsid w:val="00C40996"/>
    <w:rsid w:val="00C42273"/>
    <w:rsid w:val="00C433E5"/>
    <w:rsid w:val="00C52329"/>
    <w:rsid w:val="00C52C9A"/>
    <w:rsid w:val="00C62703"/>
    <w:rsid w:val="00C6310B"/>
    <w:rsid w:val="00C65793"/>
    <w:rsid w:val="00C677D7"/>
    <w:rsid w:val="00C712A8"/>
    <w:rsid w:val="00C72E5A"/>
    <w:rsid w:val="00C742B4"/>
    <w:rsid w:val="00C74AE9"/>
    <w:rsid w:val="00C83701"/>
    <w:rsid w:val="00C87011"/>
    <w:rsid w:val="00C9649E"/>
    <w:rsid w:val="00CA12C5"/>
    <w:rsid w:val="00CC30E1"/>
    <w:rsid w:val="00CD23E7"/>
    <w:rsid w:val="00CD42E9"/>
    <w:rsid w:val="00CE328A"/>
    <w:rsid w:val="00CE3ECE"/>
    <w:rsid w:val="00CE6175"/>
    <w:rsid w:val="00CF3AE6"/>
    <w:rsid w:val="00D007B4"/>
    <w:rsid w:val="00D03DB3"/>
    <w:rsid w:val="00D174D5"/>
    <w:rsid w:val="00D23067"/>
    <w:rsid w:val="00D24013"/>
    <w:rsid w:val="00D34510"/>
    <w:rsid w:val="00D34DFC"/>
    <w:rsid w:val="00D406EE"/>
    <w:rsid w:val="00D43485"/>
    <w:rsid w:val="00D458E9"/>
    <w:rsid w:val="00D51BB3"/>
    <w:rsid w:val="00D52553"/>
    <w:rsid w:val="00D5309A"/>
    <w:rsid w:val="00D53537"/>
    <w:rsid w:val="00D608A0"/>
    <w:rsid w:val="00D6121C"/>
    <w:rsid w:val="00D6550D"/>
    <w:rsid w:val="00D72C2B"/>
    <w:rsid w:val="00D7626A"/>
    <w:rsid w:val="00D83B1F"/>
    <w:rsid w:val="00D93907"/>
    <w:rsid w:val="00D954D5"/>
    <w:rsid w:val="00DA02C9"/>
    <w:rsid w:val="00DA0B86"/>
    <w:rsid w:val="00DB013C"/>
    <w:rsid w:val="00DB1F16"/>
    <w:rsid w:val="00DB6B00"/>
    <w:rsid w:val="00DC480F"/>
    <w:rsid w:val="00DC497D"/>
    <w:rsid w:val="00DC4CA8"/>
    <w:rsid w:val="00DC5989"/>
    <w:rsid w:val="00DC68A7"/>
    <w:rsid w:val="00DC749A"/>
    <w:rsid w:val="00DD52EC"/>
    <w:rsid w:val="00DE252B"/>
    <w:rsid w:val="00DE3B9E"/>
    <w:rsid w:val="00DE3D4B"/>
    <w:rsid w:val="00DE516D"/>
    <w:rsid w:val="00DF038B"/>
    <w:rsid w:val="00DF3156"/>
    <w:rsid w:val="00DF6C7F"/>
    <w:rsid w:val="00E00027"/>
    <w:rsid w:val="00E002EA"/>
    <w:rsid w:val="00E02301"/>
    <w:rsid w:val="00E045FB"/>
    <w:rsid w:val="00E104DC"/>
    <w:rsid w:val="00E1136D"/>
    <w:rsid w:val="00E127A8"/>
    <w:rsid w:val="00E132A5"/>
    <w:rsid w:val="00E2188F"/>
    <w:rsid w:val="00E230C1"/>
    <w:rsid w:val="00E40CC2"/>
    <w:rsid w:val="00E5009F"/>
    <w:rsid w:val="00E532F3"/>
    <w:rsid w:val="00E54E7C"/>
    <w:rsid w:val="00E5536C"/>
    <w:rsid w:val="00E57312"/>
    <w:rsid w:val="00E6581E"/>
    <w:rsid w:val="00E6739E"/>
    <w:rsid w:val="00E73E41"/>
    <w:rsid w:val="00E7410F"/>
    <w:rsid w:val="00E75BE8"/>
    <w:rsid w:val="00E77DEA"/>
    <w:rsid w:val="00E80D58"/>
    <w:rsid w:val="00E84D0E"/>
    <w:rsid w:val="00E914B2"/>
    <w:rsid w:val="00E916AC"/>
    <w:rsid w:val="00E91A7B"/>
    <w:rsid w:val="00E91B28"/>
    <w:rsid w:val="00E921E7"/>
    <w:rsid w:val="00EA478C"/>
    <w:rsid w:val="00EA5EB0"/>
    <w:rsid w:val="00EB220D"/>
    <w:rsid w:val="00EB530B"/>
    <w:rsid w:val="00EB698F"/>
    <w:rsid w:val="00EB6E18"/>
    <w:rsid w:val="00EC56C6"/>
    <w:rsid w:val="00EC589E"/>
    <w:rsid w:val="00ED0CAC"/>
    <w:rsid w:val="00ED174D"/>
    <w:rsid w:val="00ED2F5D"/>
    <w:rsid w:val="00EE1882"/>
    <w:rsid w:val="00F03B9E"/>
    <w:rsid w:val="00F056CF"/>
    <w:rsid w:val="00F05E59"/>
    <w:rsid w:val="00F15685"/>
    <w:rsid w:val="00F31051"/>
    <w:rsid w:val="00F31D40"/>
    <w:rsid w:val="00F3347A"/>
    <w:rsid w:val="00F40E5A"/>
    <w:rsid w:val="00F4356A"/>
    <w:rsid w:val="00F44C4D"/>
    <w:rsid w:val="00F46D88"/>
    <w:rsid w:val="00F5471E"/>
    <w:rsid w:val="00F74CB7"/>
    <w:rsid w:val="00F77100"/>
    <w:rsid w:val="00F8052D"/>
    <w:rsid w:val="00F820CD"/>
    <w:rsid w:val="00F83B48"/>
    <w:rsid w:val="00F85959"/>
    <w:rsid w:val="00F85D20"/>
    <w:rsid w:val="00F86E4B"/>
    <w:rsid w:val="00F91EEE"/>
    <w:rsid w:val="00F93C6E"/>
    <w:rsid w:val="00F9419E"/>
    <w:rsid w:val="00F97DE2"/>
    <w:rsid w:val="00FA0694"/>
    <w:rsid w:val="00FA31B4"/>
    <w:rsid w:val="00FB2DAF"/>
    <w:rsid w:val="00FB323A"/>
    <w:rsid w:val="00FC06AA"/>
    <w:rsid w:val="00FC6988"/>
    <w:rsid w:val="00FD07A0"/>
    <w:rsid w:val="00FD314C"/>
    <w:rsid w:val="00FD36FC"/>
    <w:rsid w:val="00FE19B6"/>
    <w:rsid w:val="00FE233C"/>
    <w:rsid w:val="00FE3488"/>
    <w:rsid w:val="00FF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stroke weight="7.25pt"/>
    </o:shapedefaults>
    <o:shapelayout v:ext="edit">
      <o:idmap v:ext="edit" data="1"/>
    </o:shapelayout>
  </w:shapeDefaults>
  <w:decimalSymbol w:val="."/>
  <w:listSeparator w:val=","/>
  <w14:docId w14:val="014BC00C"/>
  <w15:docId w15:val="{7C16A60A-977E-4250-82EA-6D760045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5C6A"/>
    <w:pPr>
      <w:jc w:val="left"/>
    </w:pPr>
    <w:rPr>
      <w:rFonts w:ascii="Times New Roman" w:eastAsia="Calibri" w:hAnsi="Times New Roman" w:cs="Times New Roman"/>
      <w:sz w:val="24"/>
      <w:szCs w:val="24"/>
      <w:lang w:val="en-US"/>
    </w:rPr>
  </w:style>
  <w:style w:type="paragraph" w:styleId="Heading1">
    <w:name w:val="heading 1"/>
    <w:basedOn w:val="Normal"/>
    <w:next w:val="Normal"/>
    <w:link w:val="Heading1Char"/>
    <w:uiPriority w:val="9"/>
    <w:qFormat/>
    <w:rsid w:val="00AC0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1D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E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02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F31D4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EB6E18"/>
    <w:rPr>
      <w:rFonts w:asciiTheme="majorHAnsi" w:eastAsiaTheme="majorEastAsia" w:hAnsiTheme="majorHAnsi" w:cstheme="majorBidi"/>
      <w:b/>
      <w:bCs/>
      <w:color w:val="4F81BD" w:themeColor="accent1"/>
      <w:sz w:val="24"/>
      <w:szCs w:val="24"/>
      <w:lang w:val="en-US"/>
    </w:rPr>
  </w:style>
  <w:style w:type="paragraph" w:styleId="ListParagraph">
    <w:name w:val="List Paragraph"/>
    <w:basedOn w:val="Normal"/>
    <w:uiPriority w:val="34"/>
    <w:qFormat/>
    <w:rsid w:val="00615C6A"/>
    <w:pPr>
      <w:ind w:left="720"/>
      <w:contextualSpacing/>
    </w:pPr>
  </w:style>
  <w:style w:type="paragraph" w:styleId="BalloonText">
    <w:name w:val="Balloon Text"/>
    <w:basedOn w:val="Normal"/>
    <w:link w:val="BalloonTextChar"/>
    <w:uiPriority w:val="99"/>
    <w:semiHidden/>
    <w:unhideWhenUsed/>
    <w:rsid w:val="00615C6A"/>
    <w:rPr>
      <w:rFonts w:ascii="Tahoma" w:hAnsi="Tahoma" w:cs="Tahoma"/>
      <w:sz w:val="16"/>
      <w:szCs w:val="16"/>
    </w:rPr>
  </w:style>
  <w:style w:type="character" w:customStyle="1" w:styleId="BalloonTextChar">
    <w:name w:val="Balloon Text Char"/>
    <w:basedOn w:val="DefaultParagraphFont"/>
    <w:link w:val="BalloonText"/>
    <w:uiPriority w:val="99"/>
    <w:semiHidden/>
    <w:rsid w:val="00615C6A"/>
    <w:rPr>
      <w:rFonts w:ascii="Tahoma" w:eastAsia="Calibri" w:hAnsi="Tahoma" w:cs="Tahoma"/>
      <w:sz w:val="16"/>
      <w:szCs w:val="16"/>
      <w:lang w:val="en-US"/>
    </w:rPr>
  </w:style>
  <w:style w:type="character" w:styleId="Emphasis">
    <w:name w:val="Emphasis"/>
    <w:basedOn w:val="DefaultParagraphFont"/>
    <w:uiPriority w:val="20"/>
    <w:qFormat/>
    <w:rsid w:val="000775D8"/>
    <w:rPr>
      <w:i/>
      <w:iCs/>
    </w:rPr>
  </w:style>
  <w:style w:type="character" w:styleId="CommentReference">
    <w:name w:val="annotation reference"/>
    <w:basedOn w:val="DefaultParagraphFont"/>
    <w:uiPriority w:val="99"/>
    <w:semiHidden/>
    <w:unhideWhenUsed/>
    <w:rsid w:val="000775D8"/>
    <w:rPr>
      <w:sz w:val="16"/>
      <w:szCs w:val="16"/>
    </w:rPr>
  </w:style>
  <w:style w:type="paragraph" w:styleId="CommentText">
    <w:name w:val="annotation text"/>
    <w:basedOn w:val="Normal"/>
    <w:link w:val="CommentTextChar"/>
    <w:uiPriority w:val="99"/>
    <w:semiHidden/>
    <w:unhideWhenUsed/>
    <w:rsid w:val="000775D8"/>
    <w:rPr>
      <w:sz w:val="20"/>
      <w:szCs w:val="20"/>
    </w:rPr>
  </w:style>
  <w:style w:type="character" w:customStyle="1" w:styleId="CommentTextChar">
    <w:name w:val="Comment Text Char"/>
    <w:basedOn w:val="DefaultParagraphFont"/>
    <w:link w:val="CommentText"/>
    <w:uiPriority w:val="99"/>
    <w:semiHidden/>
    <w:rsid w:val="000775D8"/>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775D8"/>
    <w:rPr>
      <w:b/>
      <w:bCs/>
    </w:rPr>
  </w:style>
  <w:style w:type="character" w:customStyle="1" w:styleId="CommentSubjectChar">
    <w:name w:val="Comment Subject Char"/>
    <w:basedOn w:val="CommentTextChar"/>
    <w:link w:val="CommentSubject"/>
    <w:uiPriority w:val="99"/>
    <w:semiHidden/>
    <w:rsid w:val="000775D8"/>
    <w:rPr>
      <w:rFonts w:ascii="Times New Roman" w:eastAsia="Calibri" w:hAnsi="Times New Roman" w:cs="Times New Roman"/>
      <w:b/>
      <w:bCs/>
      <w:sz w:val="20"/>
      <w:szCs w:val="20"/>
      <w:lang w:val="en-US"/>
    </w:rPr>
  </w:style>
  <w:style w:type="table" w:styleId="TableGrid">
    <w:name w:val="Table Grid"/>
    <w:basedOn w:val="TableNormal"/>
    <w:uiPriority w:val="59"/>
    <w:rsid w:val="00D34D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32444"/>
    <w:rPr>
      <w:sz w:val="20"/>
      <w:szCs w:val="20"/>
    </w:rPr>
  </w:style>
  <w:style w:type="character" w:customStyle="1" w:styleId="FootnoteTextChar">
    <w:name w:val="Footnote Text Char"/>
    <w:basedOn w:val="DefaultParagraphFont"/>
    <w:link w:val="FootnoteText"/>
    <w:uiPriority w:val="99"/>
    <w:semiHidden/>
    <w:rsid w:val="00732444"/>
    <w:rPr>
      <w:rFonts w:ascii="Times New Roman" w:eastAsia="Calibri" w:hAnsi="Times New Roman" w:cs="Times New Roman"/>
      <w:sz w:val="20"/>
      <w:szCs w:val="20"/>
      <w:lang w:val="en-US"/>
    </w:rPr>
  </w:style>
  <w:style w:type="character" w:styleId="FootnoteReference">
    <w:name w:val="footnote reference"/>
    <w:basedOn w:val="DefaultParagraphFont"/>
    <w:uiPriority w:val="99"/>
    <w:semiHidden/>
    <w:unhideWhenUsed/>
    <w:rsid w:val="00732444"/>
    <w:rPr>
      <w:vertAlign w:val="superscript"/>
    </w:rPr>
  </w:style>
  <w:style w:type="paragraph" w:styleId="Caption">
    <w:name w:val="caption"/>
    <w:basedOn w:val="Normal"/>
    <w:next w:val="Normal"/>
    <w:uiPriority w:val="35"/>
    <w:unhideWhenUsed/>
    <w:qFormat/>
    <w:rsid w:val="00542E9A"/>
    <w:pPr>
      <w:spacing w:after="200"/>
    </w:pPr>
    <w:rPr>
      <w:b/>
      <w:bCs/>
      <w:color w:val="4F81BD" w:themeColor="accent1"/>
      <w:sz w:val="18"/>
      <w:szCs w:val="18"/>
    </w:rPr>
  </w:style>
  <w:style w:type="paragraph" w:styleId="TOCHeading">
    <w:name w:val="TOC Heading"/>
    <w:basedOn w:val="Heading1"/>
    <w:next w:val="Normal"/>
    <w:uiPriority w:val="39"/>
    <w:unhideWhenUsed/>
    <w:qFormat/>
    <w:rsid w:val="0061502E"/>
    <w:pPr>
      <w:spacing w:line="276" w:lineRule="auto"/>
      <w:outlineLvl w:val="9"/>
    </w:pPr>
    <w:rPr>
      <w:lang w:val="es-ES"/>
    </w:rPr>
  </w:style>
  <w:style w:type="paragraph" w:styleId="TOC1">
    <w:name w:val="toc 1"/>
    <w:basedOn w:val="Normal"/>
    <w:next w:val="Normal"/>
    <w:autoRedefine/>
    <w:uiPriority w:val="39"/>
    <w:unhideWhenUsed/>
    <w:rsid w:val="0061502E"/>
    <w:pPr>
      <w:spacing w:after="100"/>
    </w:pPr>
  </w:style>
  <w:style w:type="paragraph" w:styleId="TOC2">
    <w:name w:val="toc 2"/>
    <w:basedOn w:val="Normal"/>
    <w:next w:val="Normal"/>
    <w:autoRedefine/>
    <w:uiPriority w:val="39"/>
    <w:unhideWhenUsed/>
    <w:rsid w:val="0061502E"/>
    <w:pPr>
      <w:spacing w:after="100"/>
      <w:ind w:left="240"/>
    </w:pPr>
  </w:style>
  <w:style w:type="character" w:styleId="Hyperlink">
    <w:name w:val="Hyperlink"/>
    <w:basedOn w:val="DefaultParagraphFont"/>
    <w:uiPriority w:val="99"/>
    <w:unhideWhenUsed/>
    <w:rsid w:val="0061502E"/>
    <w:rPr>
      <w:color w:val="0000FF" w:themeColor="hyperlink"/>
      <w:u w:val="single"/>
    </w:rPr>
  </w:style>
  <w:style w:type="paragraph" w:styleId="Revision">
    <w:name w:val="Revision"/>
    <w:hidden/>
    <w:uiPriority w:val="99"/>
    <w:semiHidden/>
    <w:rsid w:val="009B01BF"/>
    <w:pPr>
      <w:jc w:val="left"/>
    </w:pPr>
    <w:rPr>
      <w:rFonts w:ascii="Times New Roman" w:eastAsia="Calibri" w:hAnsi="Times New Roman" w:cs="Times New Roman"/>
      <w:sz w:val="24"/>
      <w:szCs w:val="24"/>
      <w:lang w:val="en-US"/>
    </w:rPr>
  </w:style>
  <w:style w:type="character" w:styleId="FollowedHyperlink">
    <w:name w:val="FollowedHyperlink"/>
    <w:basedOn w:val="DefaultParagraphFont"/>
    <w:uiPriority w:val="99"/>
    <w:semiHidden/>
    <w:unhideWhenUsed/>
    <w:rsid w:val="008213AD"/>
    <w:rPr>
      <w:color w:val="800080"/>
      <w:u w:val="single"/>
    </w:rPr>
  </w:style>
  <w:style w:type="paragraph" w:customStyle="1" w:styleId="xl63">
    <w:name w:val="xl63"/>
    <w:basedOn w:val="Normal"/>
    <w:rsid w:val="00821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s-MX" w:eastAsia="es-MX"/>
    </w:rPr>
  </w:style>
  <w:style w:type="paragraph" w:styleId="TOC3">
    <w:name w:val="toc 3"/>
    <w:basedOn w:val="Normal"/>
    <w:next w:val="Normal"/>
    <w:autoRedefine/>
    <w:uiPriority w:val="39"/>
    <w:unhideWhenUsed/>
    <w:rsid w:val="009D52AC"/>
    <w:pPr>
      <w:spacing w:after="100"/>
      <w:ind w:left="480"/>
    </w:pPr>
  </w:style>
  <w:style w:type="paragraph" w:customStyle="1" w:styleId="xl65">
    <w:name w:val="xl65"/>
    <w:basedOn w:val="Normal"/>
    <w:rsid w:val="004619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s-MX" w:eastAsia="es-MX"/>
    </w:rPr>
  </w:style>
  <w:style w:type="paragraph" w:styleId="Header">
    <w:name w:val="header"/>
    <w:basedOn w:val="Normal"/>
    <w:link w:val="HeaderChar"/>
    <w:uiPriority w:val="99"/>
    <w:semiHidden/>
    <w:unhideWhenUsed/>
    <w:rsid w:val="001E3919"/>
    <w:pPr>
      <w:tabs>
        <w:tab w:val="center" w:pos="4680"/>
        <w:tab w:val="right" w:pos="9360"/>
      </w:tabs>
    </w:pPr>
  </w:style>
  <w:style w:type="character" w:customStyle="1" w:styleId="HeaderChar">
    <w:name w:val="Header Char"/>
    <w:basedOn w:val="DefaultParagraphFont"/>
    <w:link w:val="Header"/>
    <w:uiPriority w:val="99"/>
    <w:semiHidden/>
    <w:rsid w:val="001E3919"/>
    <w:rPr>
      <w:rFonts w:ascii="Times New Roman" w:eastAsia="Calibri" w:hAnsi="Times New Roman" w:cs="Times New Roman"/>
      <w:sz w:val="24"/>
      <w:szCs w:val="24"/>
      <w:lang w:val="en-US"/>
    </w:rPr>
  </w:style>
  <w:style w:type="paragraph" w:styleId="Footer">
    <w:name w:val="footer"/>
    <w:basedOn w:val="Normal"/>
    <w:link w:val="FooterChar"/>
    <w:uiPriority w:val="99"/>
    <w:unhideWhenUsed/>
    <w:rsid w:val="001E3919"/>
    <w:pPr>
      <w:tabs>
        <w:tab w:val="center" w:pos="4680"/>
        <w:tab w:val="right" w:pos="9360"/>
      </w:tabs>
    </w:pPr>
  </w:style>
  <w:style w:type="character" w:customStyle="1" w:styleId="FooterChar">
    <w:name w:val="Footer Char"/>
    <w:basedOn w:val="DefaultParagraphFont"/>
    <w:link w:val="Footer"/>
    <w:uiPriority w:val="99"/>
    <w:rsid w:val="001E3919"/>
    <w:rPr>
      <w:rFonts w:ascii="Times New Roman" w:eastAsia="Calibri" w:hAnsi="Times New Roman" w:cs="Times New Roman"/>
      <w:sz w:val="24"/>
      <w:szCs w:val="24"/>
      <w:lang w:val="en-US"/>
    </w:rPr>
  </w:style>
  <w:style w:type="character" w:styleId="UnresolvedMention">
    <w:name w:val="Unresolved Mention"/>
    <w:basedOn w:val="DefaultParagraphFont"/>
    <w:uiPriority w:val="99"/>
    <w:semiHidden/>
    <w:unhideWhenUsed/>
    <w:rsid w:val="006A0A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4395">
      <w:bodyDiv w:val="1"/>
      <w:marLeft w:val="0"/>
      <w:marRight w:val="0"/>
      <w:marTop w:val="0"/>
      <w:marBottom w:val="0"/>
      <w:divBdr>
        <w:top w:val="none" w:sz="0" w:space="0" w:color="auto"/>
        <w:left w:val="none" w:sz="0" w:space="0" w:color="auto"/>
        <w:bottom w:val="none" w:sz="0" w:space="0" w:color="auto"/>
        <w:right w:val="none" w:sz="0" w:space="0" w:color="auto"/>
      </w:divBdr>
    </w:div>
    <w:div w:id="50660218">
      <w:bodyDiv w:val="1"/>
      <w:marLeft w:val="0"/>
      <w:marRight w:val="0"/>
      <w:marTop w:val="0"/>
      <w:marBottom w:val="0"/>
      <w:divBdr>
        <w:top w:val="none" w:sz="0" w:space="0" w:color="auto"/>
        <w:left w:val="none" w:sz="0" w:space="0" w:color="auto"/>
        <w:bottom w:val="none" w:sz="0" w:space="0" w:color="auto"/>
        <w:right w:val="none" w:sz="0" w:space="0" w:color="auto"/>
      </w:divBdr>
    </w:div>
    <w:div w:id="63265362">
      <w:bodyDiv w:val="1"/>
      <w:marLeft w:val="0"/>
      <w:marRight w:val="0"/>
      <w:marTop w:val="0"/>
      <w:marBottom w:val="0"/>
      <w:divBdr>
        <w:top w:val="none" w:sz="0" w:space="0" w:color="auto"/>
        <w:left w:val="none" w:sz="0" w:space="0" w:color="auto"/>
        <w:bottom w:val="none" w:sz="0" w:space="0" w:color="auto"/>
        <w:right w:val="none" w:sz="0" w:space="0" w:color="auto"/>
      </w:divBdr>
    </w:div>
    <w:div w:id="178470322">
      <w:bodyDiv w:val="1"/>
      <w:marLeft w:val="0"/>
      <w:marRight w:val="0"/>
      <w:marTop w:val="0"/>
      <w:marBottom w:val="0"/>
      <w:divBdr>
        <w:top w:val="none" w:sz="0" w:space="0" w:color="auto"/>
        <w:left w:val="none" w:sz="0" w:space="0" w:color="auto"/>
        <w:bottom w:val="none" w:sz="0" w:space="0" w:color="auto"/>
        <w:right w:val="none" w:sz="0" w:space="0" w:color="auto"/>
      </w:divBdr>
    </w:div>
    <w:div w:id="180705754">
      <w:bodyDiv w:val="1"/>
      <w:marLeft w:val="0"/>
      <w:marRight w:val="0"/>
      <w:marTop w:val="0"/>
      <w:marBottom w:val="0"/>
      <w:divBdr>
        <w:top w:val="none" w:sz="0" w:space="0" w:color="auto"/>
        <w:left w:val="none" w:sz="0" w:space="0" w:color="auto"/>
        <w:bottom w:val="none" w:sz="0" w:space="0" w:color="auto"/>
        <w:right w:val="none" w:sz="0" w:space="0" w:color="auto"/>
      </w:divBdr>
    </w:div>
    <w:div w:id="182255689">
      <w:bodyDiv w:val="1"/>
      <w:marLeft w:val="0"/>
      <w:marRight w:val="0"/>
      <w:marTop w:val="0"/>
      <w:marBottom w:val="0"/>
      <w:divBdr>
        <w:top w:val="none" w:sz="0" w:space="0" w:color="auto"/>
        <w:left w:val="none" w:sz="0" w:space="0" w:color="auto"/>
        <w:bottom w:val="none" w:sz="0" w:space="0" w:color="auto"/>
        <w:right w:val="none" w:sz="0" w:space="0" w:color="auto"/>
      </w:divBdr>
    </w:div>
    <w:div w:id="184444792">
      <w:bodyDiv w:val="1"/>
      <w:marLeft w:val="0"/>
      <w:marRight w:val="0"/>
      <w:marTop w:val="0"/>
      <w:marBottom w:val="0"/>
      <w:divBdr>
        <w:top w:val="none" w:sz="0" w:space="0" w:color="auto"/>
        <w:left w:val="none" w:sz="0" w:space="0" w:color="auto"/>
        <w:bottom w:val="none" w:sz="0" w:space="0" w:color="auto"/>
        <w:right w:val="none" w:sz="0" w:space="0" w:color="auto"/>
      </w:divBdr>
    </w:div>
    <w:div w:id="201598134">
      <w:bodyDiv w:val="1"/>
      <w:marLeft w:val="0"/>
      <w:marRight w:val="0"/>
      <w:marTop w:val="0"/>
      <w:marBottom w:val="0"/>
      <w:divBdr>
        <w:top w:val="none" w:sz="0" w:space="0" w:color="auto"/>
        <w:left w:val="none" w:sz="0" w:space="0" w:color="auto"/>
        <w:bottom w:val="none" w:sz="0" w:space="0" w:color="auto"/>
        <w:right w:val="none" w:sz="0" w:space="0" w:color="auto"/>
      </w:divBdr>
    </w:div>
    <w:div w:id="252206319">
      <w:bodyDiv w:val="1"/>
      <w:marLeft w:val="0"/>
      <w:marRight w:val="0"/>
      <w:marTop w:val="0"/>
      <w:marBottom w:val="0"/>
      <w:divBdr>
        <w:top w:val="none" w:sz="0" w:space="0" w:color="auto"/>
        <w:left w:val="none" w:sz="0" w:space="0" w:color="auto"/>
        <w:bottom w:val="none" w:sz="0" w:space="0" w:color="auto"/>
        <w:right w:val="none" w:sz="0" w:space="0" w:color="auto"/>
      </w:divBdr>
    </w:div>
    <w:div w:id="267280903">
      <w:bodyDiv w:val="1"/>
      <w:marLeft w:val="0"/>
      <w:marRight w:val="0"/>
      <w:marTop w:val="0"/>
      <w:marBottom w:val="0"/>
      <w:divBdr>
        <w:top w:val="none" w:sz="0" w:space="0" w:color="auto"/>
        <w:left w:val="none" w:sz="0" w:space="0" w:color="auto"/>
        <w:bottom w:val="none" w:sz="0" w:space="0" w:color="auto"/>
        <w:right w:val="none" w:sz="0" w:space="0" w:color="auto"/>
      </w:divBdr>
    </w:div>
    <w:div w:id="305202731">
      <w:bodyDiv w:val="1"/>
      <w:marLeft w:val="0"/>
      <w:marRight w:val="0"/>
      <w:marTop w:val="0"/>
      <w:marBottom w:val="0"/>
      <w:divBdr>
        <w:top w:val="none" w:sz="0" w:space="0" w:color="auto"/>
        <w:left w:val="none" w:sz="0" w:space="0" w:color="auto"/>
        <w:bottom w:val="none" w:sz="0" w:space="0" w:color="auto"/>
        <w:right w:val="none" w:sz="0" w:space="0" w:color="auto"/>
      </w:divBdr>
    </w:div>
    <w:div w:id="395397194">
      <w:bodyDiv w:val="1"/>
      <w:marLeft w:val="0"/>
      <w:marRight w:val="0"/>
      <w:marTop w:val="0"/>
      <w:marBottom w:val="0"/>
      <w:divBdr>
        <w:top w:val="none" w:sz="0" w:space="0" w:color="auto"/>
        <w:left w:val="none" w:sz="0" w:space="0" w:color="auto"/>
        <w:bottom w:val="none" w:sz="0" w:space="0" w:color="auto"/>
        <w:right w:val="none" w:sz="0" w:space="0" w:color="auto"/>
      </w:divBdr>
    </w:div>
    <w:div w:id="416025488">
      <w:bodyDiv w:val="1"/>
      <w:marLeft w:val="0"/>
      <w:marRight w:val="0"/>
      <w:marTop w:val="0"/>
      <w:marBottom w:val="0"/>
      <w:divBdr>
        <w:top w:val="none" w:sz="0" w:space="0" w:color="auto"/>
        <w:left w:val="none" w:sz="0" w:space="0" w:color="auto"/>
        <w:bottom w:val="none" w:sz="0" w:space="0" w:color="auto"/>
        <w:right w:val="none" w:sz="0" w:space="0" w:color="auto"/>
      </w:divBdr>
    </w:div>
    <w:div w:id="446240566">
      <w:bodyDiv w:val="1"/>
      <w:marLeft w:val="0"/>
      <w:marRight w:val="0"/>
      <w:marTop w:val="0"/>
      <w:marBottom w:val="0"/>
      <w:divBdr>
        <w:top w:val="none" w:sz="0" w:space="0" w:color="auto"/>
        <w:left w:val="none" w:sz="0" w:space="0" w:color="auto"/>
        <w:bottom w:val="none" w:sz="0" w:space="0" w:color="auto"/>
        <w:right w:val="none" w:sz="0" w:space="0" w:color="auto"/>
      </w:divBdr>
    </w:div>
    <w:div w:id="470903764">
      <w:bodyDiv w:val="1"/>
      <w:marLeft w:val="0"/>
      <w:marRight w:val="0"/>
      <w:marTop w:val="0"/>
      <w:marBottom w:val="0"/>
      <w:divBdr>
        <w:top w:val="none" w:sz="0" w:space="0" w:color="auto"/>
        <w:left w:val="none" w:sz="0" w:space="0" w:color="auto"/>
        <w:bottom w:val="none" w:sz="0" w:space="0" w:color="auto"/>
        <w:right w:val="none" w:sz="0" w:space="0" w:color="auto"/>
      </w:divBdr>
    </w:div>
    <w:div w:id="553588069">
      <w:bodyDiv w:val="1"/>
      <w:marLeft w:val="0"/>
      <w:marRight w:val="0"/>
      <w:marTop w:val="0"/>
      <w:marBottom w:val="0"/>
      <w:divBdr>
        <w:top w:val="none" w:sz="0" w:space="0" w:color="auto"/>
        <w:left w:val="none" w:sz="0" w:space="0" w:color="auto"/>
        <w:bottom w:val="none" w:sz="0" w:space="0" w:color="auto"/>
        <w:right w:val="none" w:sz="0" w:space="0" w:color="auto"/>
      </w:divBdr>
    </w:div>
    <w:div w:id="634339684">
      <w:bodyDiv w:val="1"/>
      <w:marLeft w:val="0"/>
      <w:marRight w:val="0"/>
      <w:marTop w:val="0"/>
      <w:marBottom w:val="0"/>
      <w:divBdr>
        <w:top w:val="none" w:sz="0" w:space="0" w:color="auto"/>
        <w:left w:val="none" w:sz="0" w:space="0" w:color="auto"/>
        <w:bottom w:val="none" w:sz="0" w:space="0" w:color="auto"/>
        <w:right w:val="none" w:sz="0" w:space="0" w:color="auto"/>
      </w:divBdr>
    </w:div>
    <w:div w:id="728697111">
      <w:bodyDiv w:val="1"/>
      <w:marLeft w:val="0"/>
      <w:marRight w:val="0"/>
      <w:marTop w:val="0"/>
      <w:marBottom w:val="0"/>
      <w:divBdr>
        <w:top w:val="none" w:sz="0" w:space="0" w:color="auto"/>
        <w:left w:val="none" w:sz="0" w:space="0" w:color="auto"/>
        <w:bottom w:val="none" w:sz="0" w:space="0" w:color="auto"/>
        <w:right w:val="none" w:sz="0" w:space="0" w:color="auto"/>
      </w:divBdr>
    </w:div>
    <w:div w:id="743649594">
      <w:bodyDiv w:val="1"/>
      <w:marLeft w:val="0"/>
      <w:marRight w:val="0"/>
      <w:marTop w:val="0"/>
      <w:marBottom w:val="0"/>
      <w:divBdr>
        <w:top w:val="none" w:sz="0" w:space="0" w:color="auto"/>
        <w:left w:val="none" w:sz="0" w:space="0" w:color="auto"/>
        <w:bottom w:val="none" w:sz="0" w:space="0" w:color="auto"/>
        <w:right w:val="none" w:sz="0" w:space="0" w:color="auto"/>
      </w:divBdr>
    </w:div>
    <w:div w:id="823736367">
      <w:bodyDiv w:val="1"/>
      <w:marLeft w:val="0"/>
      <w:marRight w:val="0"/>
      <w:marTop w:val="0"/>
      <w:marBottom w:val="0"/>
      <w:divBdr>
        <w:top w:val="none" w:sz="0" w:space="0" w:color="auto"/>
        <w:left w:val="none" w:sz="0" w:space="0" w:color="auto"/>
        <w:bottom w:val="none" w:sz="0" w:space="0" w:color="auto"/>
        <w:right w:val="none" w:sz="0" w:space="0" w:color="auto"/>
      </w:divBdr>
    </w:div>
    <w:div w:id="853688819">
      <w:bodyDiv w:val="1"/>
      <w:marLeft w:val="0"/>
      <w:marRight w:val="0"/>
      <w:marTop w:val="0"/>
      <w:marBottom w:val="0"/>
      <w:divBdr>
        <w:top w:val="none" w:sz="0" w:space="0" w:color="auto"/>
        <w:left w:val="none" w:sz="0" w:space="0" w:color="auto"/>
        <w:bottom w:val="none" w:sz="0" w:space="0" w:color="auto"/>
        <w:right w:val="none" w:sz="0" w:space="0" w:color="auto"/>
      </w:divBdr>
    </w:div>
    <w:div w:id="890650268">
      <w:bodyDiv w:val="1"/>
      <w:marLeft w:val="0"/>
      <w:marRight w:val="0"/>
      <w:marTop w:val="0"/>
      <w:marBottom w:val="0"/>
      <w:divBdr>
        <w:top w:val="none" w:sz="0" w:space="0" w:color="auto"/>
        <w:left w:val="none" w:sz="0" w:space="0" w:color="auto"/>
        <w:bottom w:val="none" w:sz="0" w:space="0" w:color="auto"/>
        <w:right w:val="none" w:sz="0" w:space="0" w:color="auto"/>
      </w:divBdr>
    </w:div>
    <w:div w:id="900024987">
      <w:bodyDiv w:val="1"/>
      <w:marLeft w:val="0"/>
      <w:marRight w:val="0"/>
      <w:marTop w:val="0"/>
      <w:marBottom w:val="0"/>
      <w:divBdr>
        <w:top w:val="none" w:sz="0" w:space="0" w:color="auto"/>
        <w:left w:val="none" w:sz="0" w:space="0" w:color="auto"/>
        <w:bottom w:val="none" w:sz="0" w:space="0" w:color="auto"/>
        <w:right w:val="none" w:sz="0" w:space="0" w:color="auto"/>
      </w:divBdr>
    </w:div>
    <w:div w:id="905146394">
      <w:bodyDiv w:val="1"/>
      <w:marLeft w:val="0"/>
      <w:marRight w:val="0"/>
      <w:marTop w:val="0"/>
      <w:marBottom w:val="0"/>
      <w:divBdr>
        <w:top w:val="none" w:sz="0" w:space="0" w:color="auto"/>
        <w:left w:val="none" w:sz="0" w:space="0" w:color="auto"/>
        <w:bottom w:val="none" w:sz="0" w:space="0" w:color="auto"/>
        <w:right w:val="none" w:sz="0" w:space="0" w:color="auto"/>
      </w:divBdr>
    </w:div>
    <w:div w:id="973409412">
      <w:bodyDiv w:val="1"/>
      <w:marLeft w:val="0"/>
      <w:marRight w:val="0"/>
      <w:marTop w:val="0"/>
      <w:marBottom w:val="0"/>
      <w:divBdr>
        <w:top w:val="none" w:sz="0" w:space="0" w:color="auto"/>
        <w:left w:val="none" w:sz="0" w:space="0" w:color="auto"/>
        <w:bottom w:val="none" w:sz="0" w:space="0" w:color="auto"/>
        <w:right w:val="none" w:sz="0" w:space="0" w:color="auto"/>
      </w:divBdr>
    </w:div>
    <w:div w:id="1041899401">
      <w:bodyDiv w:val="1"/>
      <w:marLeft w:val="0"/>
      <w:marRight w:val="0"/>
      <w:marTop w:val="0"/>
      <w:marBottom w:val="0"/>
      <w:divBdr>
        <w:top w:val="none" w:sz="0" w:space="0" w:color="auto"/>
        <w:left w:val="none" w:sz="0" w:space="0" w:color="auto"/>
        <w:bottom w:val="none" w:sz="0" w:space="0" w:color="auto"/>
        <w:right w:val="none" w:sz="0" w:space="0" w:color="auto"/>
      </w:divBdr>
    </w:div>
    <w:div w:id="1096370007">
      <w:bodyDiv w:val="1"/>
      <w:marLeft w:val="0"/>
      <w:marRight w:val="0"/>
      <w:marTop w:val="0"/>
      <w:marBottom w:val="0"/>
      <w:divBdr>
        <w:top w:val="none" w:sz="0" w:space="0" w:color="auto"/>
        <w:left w:val="none" w:sz="0" w:space="0" w:color="auto"/>
        <w:bottom w:val="none" w:sz="0" w:space="0" w:color="auto"/>
        <w:right w:val="none" w:sz="0" w:space="0" w:color="auto"/>
      </w:divBdr>
    </w:div>
    <w:div w:id="1177385796">
      <w:bodyDiv w:val="1"/>
      <w:marLeft w:val="0"/>
      <w:marRight w:val="0"/>
      <w:marTop w:val="0"/>
      <w:marBottom w:val="0"/>
      <w:divBdr>
        <w:top w:val="none" w:sz="0" w:space="0" w:color="auto"/>
        <w:left w:val="none" w:sz="0" w:space="0" w:color="auto"/>
        <w:bottom w:val="none" w:sz="0" w:space="0" w:color="auto"/>
        <w:right w:val="none" w:sz="0" w:space="0" w:color="auto"/>
      </w:divBdr>
    </w:div>
    <w:div w:id="1179546362">
      <w:bodyDiv w:val="1"/>
      <w:marLeft w:val="0"/>
      <w:marRight w:val="0"/>
      <w:marTop w:val="0"/>
      <w:marBottom w:val="0"/>
      <w:divBdr>
        <w:top w:val="none" w:sz="0" w:space="0" w:color="auto"/>
        <w:left w:val="none" w:sz="0" w:space="0" w:color="auto"/>
        <w:bottom w:val="none" w:sz="0" w:space="0" w:color="auto"/>
        <w:right w:val="none" w:sz="0" w:space="0" w:color="auto"/>
      </w:divBdr>
    </w:div>
    <w:div w:id="1194809203">
      <w:bodyDiv w:val="1"/>
      <w:marLeft w:val="0"/>
      <w:marRight w:val="0"/>
      <w:marTop w:val="0"/>
      <w:marBottom w:val="0"/>
      <w:divBdr>
        <w:top w:val="none" w:sz="0" w:space="0" w:color="auto"/>
        <w:left w:val="none" w:sz="0" w:space="0" w:color="auto"/>
        <w:bottom w:val="none" w:sz="0" w:space="0" w:color="auto"/>
        <w:right w:val="none" w:sz="0" w:space="0" w:color="auto"/>
      </w:divBdr>
    </w:div>
    <w:div w:id="1202522813">
      <w:bodyDiv w:val="1"/>
      <w:marLeft w:val="0"/>
      <w:marRight w:val="0"/>
      <w:marTop w:val="0"/>
      <w:marBottom w:val="0"/>
      <w:divBdr>
        <w:top w:val="none" w:sz="0" w:space="0" w:color="auto"/>
        <w:left w:val="none" w:sz="0" w:space="0" w:color="auto"/>
        <w:bottom w:val="none" w:sz="0" w:space="0" w:color="auto"/>
        <w:right w:val="none" w:sz="0" w:space="0" w:color="auto"/>
      </w:divBdr>
    </w:div>
    <w:div w:id="1252206051">
      <w:bodyDiv w:val="1"/>
      <w:marLeft w:val="0"/>
      <w:marRight w:val="0"/>
      <w:marTop w:val="0"/>
      <w:marBottom w:val="0"/>
      <w:divBdr>
        <w:top w:val="none" w:sz="0" w:space="0" w:color="auto"/>
        <w:left w:val="none" w:sz="0" w:space="0" w:color="auto"/>
        <w:bottom w:val="none" w:sz="0" w:space="0" w:color="auto"/>
        <w:right w:val="none" w:sz="0" w:space="0" w:color="auto"/>
      </w:divBdr>
    </w:div>
    <w:div w:id="1303081396">
      <w:bodyDiv w:val="1"/>
      <w:marLeft w:val="0"/>
      <w:marRight w:val="0"/>
      <w:marTop w:val="0"/>
      <w:marBottom w:val="0"/>
      <w:divBdr>
        <w:top w:val="none" w:sz="0" w:space="0" w:color="auto"/>
        <w:left w:val="none" w:sz="0" w:space="0" w:color="auto"/>
        <w:bottom w:val="none" w:sz="0" w:space="0" w:color="auto"/>
        <w:right w:val="none" w:sz="0" w:space="0" w:color="auto"/>
      </w:divBdr>
    </w:div>
    <w:div w:id="1390881669">
      <w:bodyDiv w:val="1"/>
      <w:marLeft w:val="0"/>
      <w:marRight w:val="0"/>
      <w:marTop w:val="0"/>
      <w:marBottom w:val="0"/>
      <w:divBdr>
        <w:top w:val="none" w:sz="0" w:space="0" w:color="auto"/>
        <w:left w:val="none" w:sz="0" w:space="0" w:color="auto"/>
        <w:bottom w:val="none" w:sz="0" w:space="0" w:color="auto"/>
        <w:right w:val="none" w:sz="0" w:space="0" w:color="auto"/>
      </w:divBdr>
    </w:div>
    <w:div w:id="1412236347">
      <w:bodyDiv w:val="1"/>
      <w:marLeft w:val="0"/>
      <w:marRight w:val="0"/>
      <w:marTop w:val="0"/>
      <w:marBottom w:val="0"/>
      <w:divBdr>
        <w:top w:val="none" w:sz="0" w:space="0" w:color="auto"/>
        <w:left w:val="none" w:sz="0" w:space="0" w:color="auto"/>
        <w:bottom w:val="none" w:sz="0" w:space="0" w:color="auto"/>
        <w:right w:val="none" w:sz="0" w:space="0" w:color="auto"/>
      </w:divBdr>
    </w:div>
    <w:div w:id="1434976401">
      <w:bodyDiv w:val="1"/>
      <w:marLeft w:val="0"/>
      <w:marRight w:val="0"/>
      <w:marTop w:val="0"/>
      <w:marBottom w:val="0"/>
      <w:divBdr>
        <w:top w:val="none" w:sz="0" w:space="0" w:color="auto"/>
        <w:left w:val="none" w:sz="0" w:space="0" w:color="auto"/>
        <w:bottom w:val="none" w:sz="0" w:space="0" w:color="auto"/>
        <w:right w:val="none" w:sz="0" w:space="0" w:color="auto"/>
      </w:divBdr>
    </w:div>
    <w:div w:id="1438408470">
      <w:bodyDiv w:val="1"/>
      <w:marLeft w:val="0"/>
      <w:marRight w:val="0"/>
      <w:marTop w:val="0"/>
      <w:marBottom w:val="0"/>
      <w:divBdr>
        <w:top w:val="none" w:sz="0" w:space="0" w:color="auto"/>
        <w:left w:val="none" w:sz="0" w:space="0" w:color="auto"/>
        <w:bottom w:val="none" w:sz="0" w:space="0" w:color="auto"/>
        <w:right w:val="none" w:sz="0" w:space="0" w:color="auto"/>
      </w:divBdr>
    </w:div>
    <w:div w:id="1439715215">
      <w:bodyDiv w:val="1"/>
      <w:marLeft w:val="0"/>
      <w:marRight w:val="0"/>
      <w:marTop w:val="0"/>
      <w:marBottom w:val="0"/>
      <w:divBdr>
        <w:top w:val="none" w:sz="0" w:space="0" w:color="auto"/>
        <w:left w:val="none" w:sz="0" w:space="0" w:color="auto"/>
        <w:bottom w:val="none" w:sz="0" w:space="0" w:color="auto"/>
        <w:right w:val="none" w:sz="0" w:space="0" w:color="auto"/>
      </w:divBdr>
    </w:div>
    <w:div w:id="1450470911">
      <w:bodyDiv w:val="1"/>
      <w:marLeft w:val="0"/>
      <w:marRight w:val="0"/>
      <w:marTop w:val="0"/>
      <w:marBottom w:val="0"/>
      <w:divBdr>
        <w:top w:val="none" w:sz="0" w:space="0" w:color="auto"/>
        <w:left w:val="none" w:sz="0" w:space="0" w:color="auto"/>
        <w:bottom w:val="none" w:sz="0" w:space="0" w:color="auto"/>
        <w:right w:val="none" w:sz="0" w:space="0" w:color="auto"/>
      </w:divBdr>
    </w:div>
    <w:div w:id="1545026121">
      <w:bodyDiv w:val="1"/>
      <w:marLeft w:val="0"/>
      <w:marRight w:val="0"/>
      <w:marTop w:val="0"/>
      <w:marBottom w:val="0"/>
      <w:divBdr>
        <w:top w:val="none" w:sz="0" w:space="0" w:color="auto"/>
        <w:left w:val="none" w:sz="0" w:space="0" w:color="auto"/>
        <w:bottom w:val="none" w:sz="0" w:space="0" w:color="auto"/>
        <w:right w:val="none" w:sz="0" w:space="0" w:color="auto"/>
      </w:divBdr>
    </w:div>
    <w:div w:id="1579290914">
      <w:bodyDiv w:val="1"/>
      <w:marLeft w:val="0"/>
      <w:marRight w:val="0"/>
      <w:marTop w:val="0"/>
      <w:marBottom w:val="0"/>
      <w:divBdr>
        <w:top w:val="none" w:sz="0" w:space="0" w:color="auto"/>
        <w:left w:val="none" w:sz="0" w:space="0" w:color="auto"/>
        <w:bottom w:val="none" w:sz="0" w:space="0" w:color="auto"/>
        <w:right w:val="none" w:sz="0" w:space="0" w:color="auto"/>
      </w:divBdr>
    </w:div>
    <w:div w:id="1624534975">
      <w:bodyDiv w:val="1"/>
      <w:marLeft w:val="0"/>
      <w:marRight w:val="0"/>
      <w:marTop w:val="0"/>
      <w:marBottom w:val="0"/>
      <w:divBdr>
        <w:top w:val="none" w:sz="0" w:space="0" w:color="auto"/>
        <w:left w:val="none" w:sz="0" w:space="0" w:color="auto"/>
        <w:bottom w:val="none" w:sz="0" w:space="0" w:color="auto"/>
        <w:right w:val="none" w:sz="0" w:space="0" w:color="auto"/>
      </w:divBdr>
    </w:div>
    <w:div w:id="1636377286">
      <w:bodyDiv w:val="1"/>
      <w:marLeft w:val="0"/>
      <w:marRight w:val="0"/>
      <w:marTop w:val="0"/>
      <w:marBottom w:val="0"/>
      <w:divBdr>
        <w:top w:val="none" w:sz="0" w:space="0" w:color="auto"/>
        <w:left w:val="none" w:sz="0" w:space="0" w:color="auto"/>
        <w:bottom w:val="none" w:sz="0" w:space="0" w:color="auto"/>
        <w:right w:val="none" w:sz="0" w:space="0" w:color="auto"/>
      </w:divBdr>
    </w:div>
    <w:div w:id="1662657856">
      <w:bodyDiv w:val="1"/>
      <w:marLeft w:val="0"/>
      <w:marRight w:val="0"/>
      <w:marTop w:val="0"/>
      <w:marBottom w:val="0"/>
      <w:divBdr>
        <w:top w:val="none" w:sz="0" w:space="0" w:color="auto"/>
        <w:left w:val="none" w:sz="0" w:space="0" w:color="auto"/>
        <w:bottom w:val="none" w:sz="0" w:space="0" w:color="auto"/>
        <w:right w:val="none" w:sz="0" w:space="0" w:color="auto"/>
      </w:divBdr>
    </w:div>
    <w:div w:id="1715689411">
      <w:bodyDiv w:val="1"/>
      <w:marLeft w:val="0"/>
      <w:marRight w:val="0"/>
      <w:marTop w:val="0"/>
      <w:marBottom w:val="0"/>
      <w:divBdr>
        <w:top w:val="none" w:sz="0" w:space="0" w:color="auto"/>
        <w:left w:val="none" w:sz="0" w:space="0" w:color="auto"/>
        <w:bottom w:val="none" w:sz="0" w:space="0" w:color="auto"/>
        <w:right w:val="none" w:sz="0" w:space="0" w:color="auto"/>
      </w:divBdr>
    </w:div>
    <w:div w:id="1726678188">
      <w:bodyDiv w:val="1"/>
      <w:marLeft w:val="0"/>
      <w:marRight w:val="0"/>
      <w:marTop w:val="0"/>
      <w:marBottom w:val="0"/>
      <w:divBdr>
        <w:top w:val="none" w:sz="0" w:space="0" w:color="auto"/>
        <w:left w:val="none" w:sz="0" w:space="0" w:color="auto"/>
        <w:bottom w:val="none" w:sz="0" w:space="0" w:color="auto"/>
        <w:right w:val="none" w:sz="0" w:space="0" w:color="auto"/>
      </w:divBdr>
    </w:div>
    <w:div w:id="1806041442">
      <w:bodyDiv w:val="1"/>
      <w:marLeft w:val="0"/>
      <w:marRight w:val="0"/>
      <w:marTop w:val="0"/>
      <w:marBottom w:val="0"/>
      <w:divBdr>
        <w:top w:val="none" w:sz="0" w:space="0" w:color="auto"/>
        <w:left w:val="none" w:sz="0" w:space="0" w:color="auto"/>
        <w:bottom w:val="none" w:sz="0" w:space="0" w:color="auto"/>
        <w:right w:val="none" w:sz="0" w:space="0" w:color="auto"/>
      </w:divBdr>
    </w:div>
    <w:div w:id="1813138830">
      <w:bodyDiv w:val="1"/>
      <w:marLeft w:val="0"/>
      <w:marRight w:val="0"/>
      <w:marTop w:val="0"/>
      <w:marBottom w:val="0"/>
      <w:divBdr>
        <w:top w:val="none" w:sz="0" w:space="0" w:color="auto"/>
        <w:left w:val="none" w:sz="0" w:space="0" w:color="auto"/>
        <w:bottom w:val="none" w:sz="0" w:space="0" w:color="auto"/>
        <w:right w:val="none" w:sz="0" w:space="0" w:color="auto"/>
      </w:divBdr>
    </w:div>
    <w:div w:id="1816876687">
      <w:bodyDiv w:val="1"/>
      <w:marLeft w:val="0"/>
      <w:marRight w:val="0"/>
      <w:marTop w:val="0"/>
      <w:marBottom w:val="0"/>
      <w:divBdr>
        <w:top w:val="none" w:sz="0" w:space="0" w:color="auto"/>
        <w:left w:val="none" w:sz="0" w:space="0" w:color="auto"/>
        <w:bottom w:val="none" w:sz="0" w:space="0" w:color="auto"/>
        <w:right w:val="none" w:sz="0" w:space="0" w:color="auto"/>
      </w:divBdr>
    </w:div>
    <w:div w:id="1873881339">
      <w:bodyDiv w:val="1"/>
      <w:marLeft w:val="0"/>
      <w:marRight w:val="0"/>
      <w:marTop w:val="0"/>
      <w:marBottom w:val="0"/>
      <w:divBdr>
        <w:top w:val="none" w:sz="0" w:space="0" w:color="auto"/>
        <w:left w:val="none" w:sz="0" w:space="0" w:color="auto"/>
        <w:bottom w:val="none" w:sz="0" w:space="0" w:color="auto"/>
        <w:right w:val="none" w:sz="0" w:space="0" w:color="auto"/>
      </w:divBdr>
    </w:div>
    <w:div w:id="1972587234">
      <w:bodyDiv w:val="1"/>
      <w:marLeft w:val="0"/>
      <w:marRight w:val="0"/>
      <w:marTop w:val="0"/>
      <w:marBottom w:val="0"/>
      <w:divBdr>
        <w:top w:val="none" w:sz="0" w:space="0" w:color="auto"/>
        <w:left w:val="none" w:sz="0" w:space="0" w:color="auto"/>
        <w:bottom w:val="none" w:sz="0" w:space="0" w:color="auto"/>
        <w:right w:val="none" w:sz="0" w:space="0" w:color="auto"/>
      </w:divBdr>
    </w:div>
    <w:div w:id="2010475101">
      <w:bodyDiv w:val="1"/>
      <w:marLeft w:val="0"/>
      <w:marRight w:val="0"/>
      <w:marTop w:val="0"/>
      <w:marBottom w:val="0"/>
      <w:divBdr>
        <w:top w:val="none" w:sz="0" w:space="0" w:color="auto"/>
        <w:left w:val="none" w:sz="0" w:space="0" w:color="auto"/>
        <w:bottom w:val="none" w:sz="0" w:space="0" w:color="auto"/>
        <w:right w:val="none" w:sz="0" w:space="0" w:color="auto"/>
      </w:divBdr>
    </w:div>
    <w:div w:id="2054496571">
      <w:bodyDiv w:val="1"/>
      <w:marLeft w:val="0"/>
      <w:marRight w:val="0"/>
      <w:marTop w:val="0"/>
      <w:marBottom w:val="0"/>
      <w:divBdr>
        <w:top w:val="none" w:sz="0" w:space="0" w:color="auto"/>
        <w:left w:val="none" w:sz="0" w:space="0" w:color="auto"/>
        <w:bottom w:val="none" w:sz="0" w:space="0" w:color="auto"/>
        <w:right w:val="none" w:sz="0" w:space="0" w:color="auto"/>
      </w:divBdr>
    </w:div>
    <w:div w:id="2086493245">
      <w:bodyDiv w:val="1"/>
      <w:marLeft w:val="0"/>
      <w:marRight w:val="0"/>
      <w:marTop w:val="0"/>
      <w:marBottom w:val="0"/>
      <w:divBdr>
        <w:top w:val="none" w:sz="0" w:space="0" w:color="auto"/>
        <w:left w:val="none" w:sz="0" w:space="0" w:color="auto"/>
        <w:bottom w:val="none" w:sz="0" w:space="0" w:color="auto"/>
        <w:right w:val="none" w:sz="0" w:space="0" w:color="auto"/>
      </w:divBdr>
    </w:div>
    <w:div w:id="2088258467">
      <w:bodyDiv w:val="1"/>
      <w:marLeft w:val="0"/>
      <w:marRight w:val="0"/>
      <w:marTop w:val="0"/>
      <w:marBottom w:val="0"/>
      <w:divBdr>
        <w:top w:val="none" w:sz="0" w:space="0" w:color="auto"/>
        <w:left w:val="none" w:sz="0" w:space="0" w:color="auto"/>
        <w:bottom w:val="none" w:sz="0" w:space="0" w:color="auto"/>
        <w:right w:val="none" w:sz="0" w:space="0" w:color="auto"/>
      </w:divBdr>
    </w:div>
    <w:div w:id="209401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tmp"/><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7.tm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office.microsoft.com/en-us/excel-help/overview-of-pivottable-and-pivotchart-reports-HP010177384.aspx" TargetMode="External"/><Relationship Id="rId1" Type="http://schemas.openxmlformats.org/officeDocument/2006/relationships/hyperlink" Target="http://lex.justice.md/md/36265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ABBB0B-031E-41BF-B3B2-0929B51BFB6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15BB2D2-F45D-45B0-A84B-9284F1236875}">
      <dgm:prSet phldrT="[Text]" custT="1"/>
      <dgm:spPr/>
      <dgm:t>
        <a:bodyPr/>
        <a:lstStyle/>
        <a:p>
          <a:r>
            <a:rPr lang="en-US" sz="1000">
              <a:latin typeface="Times New Roman" pitchFamily="18" charset="0"/>
              <a:cs typeface="Times New Roman" pitchFamily="18" charset="0"/>
            </a:rPr>
            <a:t>National Public Budget</a:t>
          </a:r>
        </a:p>
      </dgm:t>
    </dgm:pt>
    <dgm:pt modelId="{8D56AAFA-052D-4492-AE7B-78CA5907C0AA}" type="parTrans" cxnId="{11CFDDF2-1A65-4521-BADC-D002D2F105D1}">
      <dgm:prSet/>
      <dgm:spPr/>
      <dgm:t>
        <a:bodyPr/>
        <a:lstStyle/>
        <a:p>
          <a:endParaRPr lang="en-US" sz="1000">
            <a:latin typeface="Times New Roman" pitchFamily="18" charset="0"/>
            <a:cs typeface="Times New Roman" pitchFamily="18" charset="0"/>
          </a:endParaRPr>
        </a:p>
      </dgm:t>
    </dgm:pt>
    <dgm:pt modelId="{99F88C44-A03C-402F-B8EC-AC55BA1BF67B}" type="sibTrans" cxnId="{11CFDDF2-1A65-4521-BADC-D002D2F105D1}">
      <dgm:prSet/>
      <dgm:spPr/>
      <dgm:t>
        <a:bodyPr/>
        <a:lstStyle/>
        <a:p>
          <a:endParaRPr lang="en-US" sz="1000">
            <a:latin typeface="Times New Roman" pitchFamily="18" charset="0"/>
            <a:cs typeface="Times New Roman" pitchFamily="18" charset="0"/>
          </a:endParaRPr>
        </a:p>
      </dgm:t>
    </dgm:pt>
    <dgm:pt modelId="{A91FE67E-5D41-40C9-8DE8-85D1C43704E5}">
      <dgm:prSet phldrT="[Text]" custT="1"/>
      <dgm:spPr/>
      <dgm:t>
        <a:bodyPr/>
        <a:lstStyle/>
        <a:p>
          <a:r>
            <a:rPr lang="en-US" sz="1000">
              <a:latin typeface="Times New Roman" pitchFamily="18" charset="0"/>
              <a:cs typeface="Times New Roman" pitchFamily="18" charset="0"/>
            </a:rPr>
            <a:t>State Budget (BS)</a:t>
          </a:r>
        </a:p>
      </dgm:t>
    </dgm:pt>
    <dgm:pt modelId="{CD6E4436-F16D-41CA-92F5-98B53A0E2D0A}" type="parTrans" cxnId="{B2BCB9A7-53DC-4CA5-B1DD-09BF17C1F6BD}">
      <dgm:prSet/>
      <dgm:spPr/>
      <dgm:t>
        <a:bodyPr/>
        <a:lstStyle/>
        <a:p>
          <a:endParaRPr lang="en-US" sz="1000">
            <a:latin typeface="Times New Roman" pitchFamily="18" charset="0"/>
            <a:cs typeface="Times New Roman" pitchFamily="18" charset="0"/>
          </a:endParaRPr>
        </a:p>
      </dgm:t>
    </dgm:pt>
    <dgm:pt modelId="{4A603977-A530-4F9C-93FC-7807B54FDC88}" type="sibTrans" cxnId="{B2BCB9A7-53DC-4CA5-B1DD-09BF17C1F6BD}">
      <dgm:prSet/>
      <dgm:spPr/>
      <dgm:t>
        <a:bodyPr/>
        <a:lstStyle/>
        <a:p>
          <a:endParaRPr lang="en-US" sz="1000">
            <a:latin typeface="Times New Roman" pitchFamily="18" charset="0"/>
            <a:cs typeface="Times New Roman" pitchFamily="18" charset="0"/>
          </a:endParaRPr>
        </a:p>
      </dgm:t>
    </dgm:pt>
    <dgm:pt modelId="{88035103-7BC1-4509-873A-19FD8BB44278}">
      <dgm:prSet phldrT="[Text]" custT="1"/>
      <dgm:spPr/>
      <dgm:t>
        <a:bodyPr/>
        <a:lstStyle/>
        <a:p>
          <a:r>
            <a:rPr lang="en-US" sz="1000">
              <a:latin typeface="Times New Roman" pitchFamily="18" charset="0"/>
              <a:cs typeface="Times New Roman" pitchFamily="18" charset="0"/>
            </a:rPr>
            <a:t>National Social Insurance Fund (BASS)</a:t>
          </a:r>
        </a:p>
      </dgm:t>
    </dgm:pt>
    <dgm:pt modelId="{715745F4-491A-4815-B5BB-BD51C0190E62}" type="parTrans" cxnId="{1EFAC287-BEAC-48D1-A79B-652F3F2213C5}">
      <dgm:prSet/>
      <dgm:spPr/>
      <dgm:t>
        <a:bodyPr/>
        <a:lstStyle/>
        <a:p>
          <a:endParaRPr lang="en-US" sz="1000">
            <a:latin typeface="Times New Roman" pitchFamily="18" charset="0"/>
            <a:cs typeface="Times New Roman" pitchFamily="18" charset="0"/>
          </a:endParaRPr>
        </a:p>
      </dgm:t>
    </dgm:pt>
    <dgm:pt modelId="{AFD39B41-058A-4076-8ED1-80BA20AC649B}" type="sibTrans" cxnId="{1EFAC287-BEAC-48D1-A79B-652F3F2213C5}">
      <dgm:prSet/>
      <dgm:spPr/>
      <dgm:t>
        <a:bodyPr/>
        <a:lstStyle/>
        <a:p>
          <a:endParaRPr lang="en-US" sz="1000">
            <a:latin typeface="Times New Roman" pitchFamily="18" charset="0"/>
            <a:cs typeface="Times New Roman" pitchFamily="18" charset="0"/>
          </a:endParaRPr>
        </a:p>
      </dgm:t>
    </dgm:pt>
    <dgm:pt modelId="{3F16BD2F-F8FC-4CF3-A779-0F841D18218B}">
      <dgm:prSet phldrT="[Text]" custT="1"/>
      <dgm:spPr/>
      <dgm:t>
        <a:bodyPr/>
        <a:lstStyle/>
        <a:p>
          <a:r>
            <a:rPr lang="en-US" sz="1000">
              <a:latin typeface="Times New Roman" pitchFamily="18" charset="0"/>
              <a:cs typeface="Times New Roman" pitchFamily="18" charset="0"/>
            </a:rPr>
            <a:t>Mandatory Health Insurance Fund (FAOAM)</a:t>
          </a:r>
        </a:p>
      </dgm:t>
    </dgm:pt>
    <dgm:pt modelId="{11B22CF3-41FB-4A89-8852-011490C5AB9C}" type="parTrans" cxnId="{17C9496A-585E-483B-BEE3-AB1C64353730}">
      <dgm:prSet/>
      <dgm:spPr/>
      <dgm:t>
        <a:bodyPr/>
        <a:lstStyle/>
        <a:p>
          <a:endParaRPr lang="en-US" sz="1000">
            <a:latin typeface="Times New Roman" pitchFamily="18" charset="0"/>
            <a:cs typeface="Times New Roman" pitchFamily="18" charset="0"/>
          </a:endParaRPr>
        </a:p>
      </dgm:t>
    </dgm:pt>
    <dgm:pt modelId="{D65221F6-31A2-4D97-907C-1256B42C6EE0}" type="sibTrans" cxnId="{17C9496A-585E-483B-BEE3-AB1C64353730}">
      <dgm:prSet/>
      <dgm:spPr/>
      <dgm:t>
        <a:bodyPr/>
        <a:lstStyle/>
        <a:p>
          <a:endParaRPr lang="en-US" sz="1000">
            <a:latin typeface="Times New Roman" pitchFamily="18" charset="0"/>
            <a:cs typeface="Times New Roman" pitchFamily="18" charset="0"/>
          </a:endParaRPr>
        </a:p>
      </dgm:t>
    </dgm:pt>
    <dgm:pt modelId="{65A1B986-9FD3-4B3D-A130-E7974D933D1B}">
      <dgm:prSet phldrT="[Text]" custT="1"/>
      <dgm:spPr/>
      <dgm:t>
        <a:bodyPr/>
        <a:lstStyle/>
        <a:p>
          <a:r>
            <a:rPr lang="en-US" sz="1000">
              <a:latin typeface="Times New Roman" pitchFamily="18" charset="0"/>
              <a:cs typeface="Times New Roman" pitchFamily="18" charset="0"/>
            </a:rPr>
            <a:t>Administrative Territorial Units Budget (BUAT)</a:t>
          </a:r>
        </a:p>
      </dgm:t>
    </dgm:pt>
    <dgm:pt modelId="{701DC32E-8C04-42F9-B03C-5DF01442D4EB}" type="parTrans" cxnId="{6ADD2CC9-E9CE-47CF-80B1-DFA81C0B5E36}">
      <dgm:prSet/>
      <dgm:spPr/>
      <dgm:t>
        <a:bodyPr/>
        <a:lstStyle/>
        <a:p>
          <a:endParaRPr lang="en-US" sz="1000">
            <a:latin typeface="Times New Roman" pitchFamily="18" charset="0"/>
            <a:cs typeface="Times New Roman" pitchFamily="18" charset="0"/>
          </a:endParaRPr>
        </a:p>
      </dgm:t>
    </dgm:pt>
    <dgm:pt modelId="{9EC7EEDC-6A24-4616-B1FB-894C1785B63F}" type="sibTrans" cxnId="{6ADD2CC9-E9CE-47CF-80B1-DFA81C0B5E36}">
      <dgm:prSet/>
      <dgm:spPr/>
      <dgm:t>
        <a:bodyPr/>
        <a:lstStyle/>
        <a:p>
          <a:endParaRPr lang="en-US" sz="1000">
            <a:latin typeface="Times New Roman" pitchFamily="18" charset="0"/>
            <a:cs typeface="Times New Roman" pitchFamily="18" charset="0"/>
          </a:endParaRPr>
        </a:p>
      </dgm:t>
    </dgm:pt>
    <dgm:pt modelId="{6BB07EF9-4B8F-4CD7-AA17-85F859BFF774}" type="pres">
      <dgm:prSet presAssocID="{53ABBB0B-031E-41BF-B3B2-0929B51BFB6E}" presName="hierChild1" presStyleCnt="0">
        <dgm:presLayoutVars>
          <dgm:orgChart val="1"/>
          <dgm:chPref val="1"/>
          <dgm:dir/>
          <dgm:animOne val="branch"/>
          <dgm:animLvl val="lvl"/>
          <dgm:resizeHandles/>
        </dgm:presLayoutVars>
      </dgm:prSet>
      <dgm:spPr/>
    </dgm:pt>
    <dgm:pt modelId="{65A24110-8522-49F9-BDBA-872C85F8EAAD}" type="pres">
      <dgm:prSet presAssocID="{E15BB2D2-F45D-45B0-A84B-9284F1236875}" presName="hierRoot1" presStyleCnt="0">
        <dgm:presLayoutVars>
          <dgm:hierBranch val="init"/>
        </dgm:presLayoutVars>
      </dgm:prSet>
      <dgm:spPr/>
    </dgm:pt>
    <dgm:pt modelId="{160B1247-EF0B-4A2F-99C9-BB9F65F1F1D1}" type="pres">
      <dgm:prSet presAssocID="{E15BB2D2-F45D-45B0-A84B-9284F1236875}" presName="rootComposite1" presStyleCnt="0"/>
      <dgm:spPr/>
    </dgm:pt>
    <dgm:pt modelId="{04EA7617-055E-4878-8224-56D79EE01C39}" type="pres">
      <dgm:prSet presAssocID="{E15BB2D2-F45D-45B0-A84B-9284F1236875}" presName="rootText1" presStyleLbl="node0" presStyleIdx="0" presStyleCnt="1">
        <dgm:presLayoutVars>
          <dgm:chPref val="3"/>
        </dgm:presLayoutVars>
      </dgm:prSet>
      <dgm:spPr/>
    </dgm:pt>
    <dgm:pt modelId="{49829C1A-8F00-4BF6-9880-2DD6ED4C957F}" type="pres">
      <dgm:prSet presAssocID="{E15BB2D2-F45D-45B0-A84B-9284F1236875}" presName="rootConnector1" presStyleLbl="node1" presStyleIdx="0" presStyleCnt="0"/>
      <dgm:spPr/>
    </dgm:pt>
    <dgm:pt modelId="{291B74D1-4B37-48B7-A2FB-AD125B7677A1}" type="pres">
      <dgm:prSet presAssocID="{E15BB2D2-F45D-45B0-A84B-9284F1236875}" presName="hierChild2" presStyleCnt="0"/>
      <dgm:spPr/>
    </dgm:pt>
    <dgm:pt modelId="{8192E9BA-7445-466D-AF70-10494E62E187}" type="pres">
      <dgm:prSet presAssocID="{CD6E4436-F16D-41CA-92F5-98B53A0E2D0A}" presName="Name37" presStyleLbl="parChTrans1D2" presStyleIdx="0" presStyleCnt="4"/>
      <dgm:spPr/>
    </dgm:pt>
    <dgm:pt modelId="{908C772B-CAEF-42B3-BED1-2FFB1645B5DA}" type="pres">
      <dgm:prSet presAssocID="{A91FE67E-5D41-40C9-8DE8-85D1C43704E5}" presName="hierRoot2" presStyleCnt="0">
        <dgm:presLayoutVars>
          <dgm:hierBranch val="init"/>
        </dgm:presLayoutVars>
      </dgm:prSet>
      <dgm:spPr/>
    </dgm:pt>
    <dgm:pt modelId="{B2C31BBF-2C13-4A72-AD68-837FBC9830FF}" type="pres">
      <dgm:prSet presAssocID="{A91FE67E-5D41-40C9-8DE8-85D1C43704E5}" presName="rootComposite" presStyleCnt="0"/>
      <dgm:spPr/>
    </dgm:pt>
    <dgm:pt modelId="{D027B3EC-CF1E-41A5-8BB5-16C4580640A6}" type="pres">
      <dgm:prSet presAssocID="{A91FE67E-5D41-40C9-8DE8-85D1C43704E5}" presName="rootText" presStyleLbl="node2" presStyleIdx="0" presStyleCnt="4">
        <dgm:presLayoutVars>
          <dgm:chPref val="3"/>
        </dgm:presLayoutVars>
      </dgm:prSet>
      <dgm:spPr/>
    </dgm:pt>
    <dgm:pt modelId="{CB6FB450-E020-4BAD-AEF5-92A34CB100D3}" type="pres">
      <dgm:prSet presAssocID="{A91FE67E-5D41-40C9-8DE8-85D1C43704E5}" presName="rootConnector" presStyleLbl="node2" presStyleIdx="0" presStyleCnt="4"/>
      <dgm:spPr/>
    </dgm:pt>
    <dgm:pt modelId="{AEBBE03F-C81F-458E-8548-347D6C5BC7F0}" type="pres">
      <dgm:prSet presAssocID="{A91FE67E-5D41-40C9-8DE8-85D1C43704E5}" presName="hierChild4" presStyleCnt="0"/>
      <dgm:spPr/>
    </dgm:pt>
    <dgm:pt modelId="{DDFD574E-13AB-456B-9E44-AE55F56497D7}" type="pres">
      <dgm:prSet presAssocID="{A91FE67E-5D41-40C9-8DE8-85D1C43704E5}" presName="hierChild5" presStyleCnt="0"/>
      <dgm:spPr/>
    </dgm:pt>
    <dgm:pt modelId="{6AE7F85E-9A99-4E1D-9908-C78C1E772FAF}" type="pres">
      <dgm:prSet presAssocID="{701DC32E-8C04-42F9-B03C-5DF01442D4EB}" presName="Name37" presStyleLbl="parChTrans1D2" presStyleIdx="1" presStyleCnt="4"/>
      <dgm:spPr/>
    </dgm:pt>
    <dgm:pt modelId="{D134D632-C1E9-4C6B-86B6-327637167254}" type="pres">
      <dgm:prSet presAssocID="{65A1B986-9FD3-4B3D-A130-E7974D933D1B}" presName="hierRoot2" presStyleCnt="0">
        <dgm:presLayoutVars>
          <dgm:hierBranch val="init"/>
        </dgm:presLayoutVars>
      </dgm:prSet>
      <dgm:spPr/>
    </dgm:pt>
    <dgm:pt modelId="{08FAD8DB-C657-4D4B-9B6F-02E8C7AD4AAB}" type="pres">
      <dgm:prSet presAssocID="{65A1B986-9FD3-4B3D-A130-E7974D933D1B}" presName="rootComposite" presStyleCnt="0"/>
      <dgm:spPr/>
    </dgm:pt>
    <dgm:pt modelId="{A7960B07-EEFC-4710-BDAF-34ACBAA98362}" type="pres">
      <dgm:prSet presAssocID="{65A1B986-9FD3-4B3D-A130-E7974D933D1B}" presName="rootText" presStyleLbl="node2" presStyleIdx="1" presStyleCnt="4">
        <dgm:presLayoutVars>
          <dgm:chPref val="3"/>
        </dgm:presLayoutVars>
      </dgm:prSet>
      <dgm:spPr/>
    </dgm:pt>
    <dgm:pt modelId="{04A6C37B-F206-4EB4-B2B1-F6F22C728639}" type="pres">
      <dgm:prSet presAssocID="{65A1B986-9FD3-4B3D-A130-E7974D933D1B}" presName="rootConnector" presStyleLbl="node2" presStyleIdx="1" presStyleCnt="4"/>
      <dgm:spPr/>
    </dgm:pt>
    <dgm:pt modelId="{2B0FE345-5838-4A79-BE3D-F33A721291C9}" type="pres">
      <dgm:prSet presAssocID="{65A1B986-9FD3-4B3D-A130-E7974D933D1B}" presName="hierChild4" presStyleCnt="0"/>
      <dgm:spPr/>
    </dgm:pt>
    <dgm:pt modelId="{D40DB8D7-0670-44EB-A15A-D48B80ED8F4B}" type="pres">
      <dgm:prSet presAssocID="{65A1B986-9FD3-4B3D-A130-E7974D933D1B}" presName="hierChild5" presStyleCnt="0"/>
      <dgm:spPr/>
    </dgm:pt>
    <dgm:pt modelId="{176B4726-93F8-4732-96FE-37C38DE9057E}" type="pres">
      <dgm:prSet presAssocID="{715745F4-491A-4815-B5BB-BD51C0190E62}" presName="Name37" presStyleLbl="parChTrans1D2" presStyleIdx="2" presStyleCnt="4"/>
      <dgm:spPr/>
    </dgm:pt>
    <dgm:pt modelId="{AF48B329-42A1-4181-812D-E3DCCF4BD6E0}" type="pres">
      <dgm:prSet presAssocID="{88035103-7BC1-4509-873A-19FD8BB44278}" presName="hierRoot2" presStyleCnt="0">
        <dgm:presLayoutVars>
          <dgm:hierBranch val="init"/>
        </dgm:presLayoutVars>
      </dgm:prSet>
      <dgm:spPr/>
    </dgm:pt>
    <dgm:pt modelId="{9E18271B-151F-4F21-A47E-93DA39B7BADB}" type="pres">
      <dgm:prSet presAssocID="{88035103-7BC1-4509-873A-19FD8BB44278}" presName="rootComposite" presStyleCnt="0"/>
      <dgm:spPr/>
    </dgm:pt>
    <dgm:pt modelId="{3DFDFEC1-77D3-42B4-AB34-613A5C17FF79}" type="pres">
      <dgm:prSet presAssocID="{88035103-7BC1-4509-873A-19FD8BB44278}" presName="rootText" presStyleLbl="node2" presStyleIdx="2" presStyleCnt="4">
        <dgm:presLayoutVars>
          <dgm:chPref val="3"/>
        </dgm:presLayoutVars>
      </dgm:prSet>
      <dgm:spPr/>
    </dgm:pt>
    <dgm:pt modelId="{8ADF368C-0D42-4D2A-923F-62FF5C1B886F}" type="pres">
      <dgm:prSet presAssocID="{88035103-7BC1-4509-873A-19FD8BB44278}" presName="rootConnector" presStyleLbl="node2" presStyleIdx="2" presStyleCnt="4"/>
      <dgm:spPr/>
    </dgm:pt>
    <dgm:pt modelId="{C49124CA-3E27-47CD-BE6F-3A5B67F57E39}" type="pres">
      <dgm:prSet presAssocID="{88035103-7BC1-4509-873A-19FD8BB44278}" presName="hierChild4" presStyleCnt="0"/>
      <dgm:spPr/>
    </dgm:pt>
    <dgm:pt modelId="{1FA8DDD2-35A2-4D1F-B3E4-045C9AD3706B}" type="pres">
      <dgm:prSet presAssocID="{88035103-7BC1-4509-873A-19FD8BB44278}" presName="hierChild5" presStyleCnt="0"/>
      <dgm:spPr/>
    </dgm:pt>
    <dgm:pt modelId="{01C13ADD-EBB4-4160-8D26-08E8B84C86F5}" type="pres">
      <dgm:prSet presAssocID="{11B22CF3-41FB-4A89-8852-011490C5AB9C}" presName="Name37" presStyleLbl="parChTrans1D2" presStyleIdx="3" presStyleCnt="4"/>
      <dgm:spPr/>
    </dgm:pt>
    <dgm:pt modelId="{2844F15F-A926-4549-81AE-4FEB6029A612}" type="pres">
      <dgm:prSet presAssocID="{3F16BD2F-F8FC-4CF3-A779-0F841D18218B}" presName="hierRoot2" presStyleCnt="0">
        <dgm:presLayoutVars>
          <dgm:hierBranch val="init"/>
        </dgm:presLayoutVars>
      </dgm:prSet>
      <dgm:spPr/>
    </dgm:pt>
    <dgm:pt modelId="{5B328837-B249-41A0-942E-B67A8BEC4DD7}" type="pres">
      <dgm:prSet presAssocID="{3F16BD2F-F8FC-4CF3-A779-0F841D18218B}" presName="rootComposite" presStyleCnt="0"/>
      <dgm:spPr/>
    </dgm:pt>
    <dgm:pt modelId="{C5A91A3F-966F-4F54-8467-871E4CD0EBDE}" type="pres">
      <dgm:prSet presAssocID="{3F16BD2F-F8FC-4CF3-A779-0F841D18218B}" presName="rootText" presStyleLbl="node2" presStyleIdx="3" presStyleCnt="4">
        <dgm:presLayoutVars>
          <dgm:chPref val="3"/>
        </dgm:presLayoutVars>
      </dgm:prSet>
      <dgm:spPr/>
    </dgm:pt>
    <dgm:pt modelId="{3C22114B-ABDB-4F87-BB9C-8B318E82FC52}" type="pres">
      <dgm:prSet presAssocID="{3F16BD2F-F8FC-4CF3-A779-0F841D18218B}" presName="rootConnector" presStyleLbl="node2" presStyleIdx="3" presStyleCnt="4"/>
      <dgm:spPr/>
    </dgm:pt>
    <dgm:pt modelId="{171BF52A-307A-46E8-966D-68D3AF927CC5}" type="pres">
      <dgm:prSet presAssocID="{3F16BD2F-F8FC-4CF3-A779-0F841D18218B}" presName="hierChild4" presStyleCnt="0"/>
      <dgm:spPr/>
    </dgm:pt>
    <dgm:pt modelId="{8B42205C-E189-4FF2-93FD-BCFABD3769A8}" type="pres">
      <dgm:prSet presAssocID="{3F16BD2F-F8FC-4CF3-A779-0F841D18218B}" presName="hierChild5" presStyleCnt="0"/>
      <dgm:spPr/>
    </dgm:pt>
    <dgm:pt modelId="{CA6F93F9-12CF-40AD-8209-CFC10C25636C}" type="pres">
      <dgm:prSet presAssocID="{E15BB2D2-F45D-45B0-A84B-9284F1236875}" presName="hierChild3" presStyleCnt="0"/>
      <dgm:spPr/>
    </dgm:pt>
  </dgm:ptLst>
  <dgm:cxnLst>
    <dgm:cxn modelId="{EF5C0E1B-A799-4566-AADC-F85695C78236}" type="presOf" srcId="{A91FE67E-5D41-40C9-8DE8-85D1C43704E5}" destId="{CB6FB450-E020-4BAD-AEF5-92A34CB100D3}" srcOrd="1" destOrd="0" presId="urn:microsoft.com/office/officeart/2005/8/layout/orgChart1"/>
    <dgm:cxn modelId="{6FA14B29-4469-45E5-BF8A-54D97BF63226}" type="presOf" srcId="{A91FE67E-5D41-40C9-8DE8-85D1C43704E5}" destId="{D027B3EC-CF1E-41A5-8BB5-16C4580640A6}" srcOrd="0" destOrd="0" presId="urn:microsoft.com/office/officeart/2005/8/layout/orgChart1"/>
    <dgm:cxn modelId="{F0492B2B-8D34-4F36-8DBA-5C563170619E}" type="presOf" srcId="{3F16BD2F-F8FC-4CF3-A779-0F841D18218B}" destId="{C5A91A3F-966F-4F54-8467-871E4CD0EBDE}" srcOrd="0" destOrd="0" presId="urn:microsoft.com/office/officeart/2005/8/layout/orgChart1"/>
    <dgm:cxn modelId="{8B61B932-F170-4119-A9FF-A5CCD4C8C127}" type="presOf" srcId="{53ABBB0B-031E-41BF-B3B2-0929B51BFB6E}" destId="{6BB07EF9-4B8F-4CD7-AA17-85F859BFF774}" srcOrd="0" destOrd="0" presId="urn:microsoft.com/office/officeart/2005/8/layout/orgChart1"/>
    <dgm:cxn modelId="{B21B1237-E173-4252-BC06-D4784B5BFFB7}" type="presOf" srcId="{88035103-7BC1-4509-873A-19FD8BB44278}" destId="{3DFDFEC1-77D3-42B4-AB34-613A5C17FF79}" srcOrd="0" destOrd="0" presId="urn:microsoft.com/office/officeart/2005/8/layout/orgChart1"/>
    <dgm:cxn modelId="{BA0C445D-8BB2-4E87-8190-787E437157C0}" type="presOf" srcId="{701DC32E-8C04-42F9-B03C-5DF01442D4EB}" destId="{6AE7F85E-9A99-4E1D-9908-C78C1E772FAF}" srcOrd="0" destOrd="0" presId="urn:microsoft.com/office/officeart/2005/8/layout/orgChart1"/>
    <dgm:cxn modelId="{36EEDC47-A50A-4100-9E3C-CDD98525DEB3}" type="presOf" srcId="{11B22CF3-41FB-4A89-8852-011490C5AB9C}" destId="{01C13ADD-EBB4-4160-8D26-08E8B84C86F5}" srcOrd="0" destOrd="0" presId="urn:microsoft.com/office/officeart/2005/8/layout/orgChart1"/>
    <dgm:cxn modelId="{17C9496A-585E-483B-BEE3-AB1C64353730}" srcId="{E15BB2D2-F45D-45B0-A84B-9284F1236875}" destId="{3F16BD2F-F8FC-4CF3-A779-0F841D18218B}" srcOrd="3" destOrd="0" parTransId="{11B22CF3-41FB-4A89-8852-011490C5AB9C}" sibTransId="{D65221F6-31A2-4D97-907C-1256B42C6EE0}"/>
    <dgm:cxn modelId="{E64B4B4B-94A4-451C-A72C-864625054D5D}" type="presOf" srcId="{88035103-7BC1-4509-873A-19FD8BB44278}" destId="{8ADF368C-0D42-4D2A-923F-62FF5C1B886F}" srcOrd="1" destOrd="0" presId="urn:microsoft.com/office/officeart/2005/8/layout/orgChart1"/>
    <dgm:cxn modelId="{5C69C882-5244-4528-AEB6-E21C6001EA2D}" type="presOf" srcId="{E15BB2D2-F45D-45B0-A84B-9284F1236875}" destId="{49829C1A-8F00-4BF6-9880-2DD6ED4C957F}" srcOrd="1" destOrd="0" presId="urn:microsoft.com/office/officeart/2005/8/layout/orgChart1"/>
    <dgm:cxn modelId="{1EFAC287-BEAC-48D1-A79B-652F3F2213C5}" srcId="{E15BB2D2-F45D-45B0-A84B-9284F1236875}" destId="{88035103-7BC1-4509-873A-19FD8BB44278}" srcOrd="2" destOrd="0" parTransId="{715745F4-491A-4815-B5BB-BD51C0190E62}" sibTransId="{AFD39B41-058A-4076-8ED1-80BA20AC649B}"/>
    <dgm:cxn modelId="{CDCDF190-3966-4962-8117-738E66A03D1F}" type="presOf" srcId="{E15BB2D2-F45D-45B0-A84B-9284F1236875}" destId="{04EA7617-055E-4878-8224-56D79EE01C39}" srcOrd="0" destOrd="0" presId="urn:microsoft.com/office/officeart/2005/8/layout/orgChart1"/>
    <dgm:cxn modelId="{13B0269B-72C4-453B-A9AC-73FC9254F088}" type="presOf" srcId="{65A1B986-9FD3-4B3D-A130-E7974D933D1B}" destId="{04A6C37B-F206-4EB4-B2B1-F6F22C728639}" srcOrd="1" destOrd="0" presId="urn:microsoft.com/office/officeart/2005/8/layout/orgChart1"/>
    <dgm:cxn modelId="{B2BCB9A7-53DC-4CA5-B1DD-09BF17C1F6BD}" srcId="{E15BB2D2-F45D-45B0-A84B-9284F1236875}" destId="{A91FE67E-5D41-40C9-8DE8-85D1C43704E5}" srcOrd="0" destOrd="0" parTransId="{CD6E4436-F16D-41CA-92F5-98B53A0E2D0A}" sibTransId="{4A603977-A530-4F9C-93FC-7807B54FDC88}"/>
    <dgm:cxn modelId="{521338B3-2BDC-45E8-8473-6103D47F0FBE}" type="presOf" srcId="{715745F4-491A-4815-B5BB-BD51C0190E62}" destId="{176B4726-93F8-4732-96FE-37C38DE9057E}" srcOrd="0" destOrd="0" presId="urn:microsoft.com/office/officeart/2005/8/layout/orgChart1"/>
    <dgm:cxn modelId="{6ADD2CC9-E9CE-47CF-80B1-DFA81C0B5E36}" srcId="{E15BB2D2-F45D-45B0-A84B-9284F1236875}" destId="{65A1B986-9FD3-4B3D-A130-E7974D933D1B}" srcOrd="1" destOrd="0" parTransId="{701DC32E-8C04-42F9-B03C-5DF01442D4EB}" sibTransId="{9EC7EEDC-6A24-4616-B1FB-894C1785B63F}"/>
    <dgm:cxn modelId="{8D95E2CF-9FE4-4137-98F3-E7EBF84DE43E}" type="presOf" srcId="{CD6E4436-F16D-41CA-92F5-98B53A0E2D0A}" destId="{8192E9BA-7445-466D-AF70-10494E62E187}" srcOrd="0" destOrd="0" presId="urn:microsoft.com/office/officeart/2005/8/layout/orgChart1"/>
    <dgm:cxn modelId="{56BC83EF-885E-4B0C-97E6-F796DFF7D30A}" type="presOf" srcId="{3F16BD2F-F8FC-4CF3-A779-0F841D18218B}" destId="{3C22114B-ABDB-4F87-BB9C-8B318E82FC52}" srcOrd="1" destOrd="0" presId="urn:microsoft.com/office/officeart/2005/8/layout/orgChart1"/>
    <dgm:cxn modelId="{11CFDDF2-1A65-4521-BADC-D002D2F105D1}" srcId="{53ABBB0B-031E-41BF-B3B2-0929B51BFB6E}" destId="{E15BB2D2-F45D-45B0-A84B-9284F1236875}" srcOrd="0" destOrd="0" parTransId="{8D56AAFA-052D-4492-AE7B-78CA5907C0AA}" sibTransId="{99F88C44-A03C-402F-B8EC-AC55BA1BF67B}"/>
    <dgm:cxn modelId="{594C7CF5-6ABC-4858-96E9-D893E4EFB29D}" type="presOf" srcId="{65A1B986-9FD3-4B3D-A130-E7974D933D1B}" destId="{A7960B07-EEFC-4710-BDAF-34ACBAA98362}" srcOrd="0" destOrd="0" presId="urn:microsoft.com/office/officeart/2005/8/layout/orgChart1"/>
    <dgm:cxn modelId="{847E4202-3B9E-4DEE-A632-C7D22B689043}" type="presParOf" srcId="{6BB07EF9-4B8F-4CD7-AA17-85F859BFF774}" destId="{65A24110-8522-49F9-BDBA-872C85F8EAAD}" srcOrd="0" destOrd="0" presId="urn:microsoft.com/office/officeart/2005/8/layout/orgChart1"/>
    <dgm:cxn modelId="{A3A3AEEC-79B7-4B54-8965-0900745FE077}" type="presParOf" srcId="{65A24110-8522-49F9-BDBA-872C85F8EAAD}" destId="{160B1247-EF0B-4A2F-99C9-BB9F65F1F1D1}" srcOrd="0" destOrd="0" presId="urn:microsoft.com/office/officeart/2005/8/layout/orgChart1"/>
    <dgm:cxn modelId="{B7C5A20C-9318-4F88-83FD-ACB0691D4024}" type="presParOf" srcId="{160B1247-EF0B-4A2F-99C9-BB9F65F1F1D1}" destId="{04EA7617-055E-4878-8224-56D79EE01C39}" srcOrd="0" destOrd="0" presId="urn:microsoft.com/office/officeart/2005/8/layout/orgChart1"/>
    <dgm:cxn modelId="{7FBCF020-3A76-4613-B5C9-7893506D80C8}" type="presParOf" srcId="{160B1247-EF0B-4A2F-99C9-BB9F65F1F1D1}" destId="{49829C1A-8F00-4BF6-9880-2DD6ED4C957F}" srcOrd="1" destOrd="0" presId="urn:microsoft.com/office/officeart/2005/8/layout/orgChart1"/>
    <dgm:cxn modelId="{D46278DC-C779-4104-B82D-87FF79D098C7}" type="presParOf" srcId="{65A24110-8522-49F9-BDBA-872C85F8EAAD}" destId="{291B74D1-4B37-48B7-A2FB-AD125B7677A1}" srcOrd="1" destOrd="0" presId="urn:microsoft.com/office/officeart/2005/8/layout/orgChart1"/>
    <dgm:cxn modelId="{4194F68F-F756-472F-A1D2-412B81BCEDE1}" type="presParOf" srcId="{291B74D1-4B37-48B7-A2FB-AD125B7677A1}" destId="{8192E9BA-7445-466D-AF70-10494E62E187}" srcOrd="0" destOrd="0" presId="urn:microsoft.com/office/officeart/2005/8/layout/orgChart1"/>
    <dgm:cxn modelId="{041A9F2A-0816-4617-A012-4FD9334AAE7E}" type="presParOf" srcId="{291B74D1-4B37-48B7-A2FB-AD125B7677A1}" destId="{908C772B-CAEF-42B3-BED1-2FFB1645B5DA}" srcOrd="1" destOrd="0" presId="urn:microsoft.com/office/officeart/2005/8/layout/orgChart1"/>
    <dgm:cxn modelId="{DCA5C07C-8887-4964-B0D9-695A0998793D}" type="presParOf" srcId="{908C772B-CAEF-42B3-BED1-2FFB1645B5DA}" destId="{B2C31BBF-2C13-4A72-AD68-837FBC9830FF}" srcOrd="0" destOrd="0" presId="urn:microsoft.com/office/officeart/2005/8/layout/orgChart1"/>
    <dgm:cxn modelId="{E0024AE5-561D-427A-8848-9800D724E0B8}" type="presParOf" srcId="{B2C31BBF-2C13-4A72-AD68-837FBC9830FF}" destId="{D027B3EC-CF1E-41A5-8BB5-16C4580640A6}" srcOrd="0" destOrd="0" presId="urn:microsoft.com/office/officeart/2005/8/layout/orgChart1"/>
    <dgm:cxn modelId="{D71172DC-5874-4FC9-9A4C-4686487254E0}" type="presParOf" srcId="{B2C31BBF-2C13-4A72-AD68-837FBC9830FF}" destId="{CB6FB450-E020-4BAD-AEF5-92A34CB100D3}" srcOrd="1" destOrd="0" presId="urn:microsoft.com/office/officeart/2005/8/layout/orgChart1"/>
    <dgm:cxn modelId="{6A946EB1-62D7-425F-8C0C-7C6CA5CDF44E}" type="presParOf" srcId="{908C772B-CAEF-42B3-BED1-2FFB1645B5DA}" destId="{AEBBE03F-C81F-458E-8548-347D6C5BC7F0}" srcOrd="1" destOrd="0" presId="urn:microsoft.com/office/officeart/2005/8/layout/orgChart1"/>
    <dgm:cxn modelId="{B4CC149B-7D8E-496F-9B4C-5F999CCB1C4F}" type="presParOf" srcId="{908C772B-CAEF-42B3-BED1-2FFB1645B5DA}" destId="{DDFD574E-13AB-456B-9E44-AE55F56497D7}" srcOrd="2" destOrd="0" presId="urn:microsoft.com/office/officeart/2005/8/layout/orgChart1"/>
    <dgm:cxn modelId="{55EF1DDC-B662-4F97-A168-5D7E7F5CDBFC}" type="presParOf" srcId="{291B74D1-4B37-48B7-A2FB-AD125B7677A1}" destId="{6AE7F85E-9A99-4E1D-9908-C78C1E772FAF}" srcOrd="2" destOrd="0" presId="urn:microsoft.com/office/officeart/2005/8/layout/orgChart1"/>
    <dgm:cxn modelId="{4C46491E-D5F3-4F41-9F9D-C0D77E1C74B8}" type="presParOf" srcId="{291B74D1-4B37-48B7-A2FB-AD125B7677A1}" destId="{D134D632-C1E9-4C6B-86B6-327637167254}" srcOrd="3" destOrd="0" presId="urn:microsoft.com/office/officeart/2005/8/layout/orgChart1"/>
    <dgm:cxn modelId="{A524E58C-97E4-46D7-AA05-175E779073C8}" type="presParOf" srcId="{D134D632-C1E9-4C6B-86B6-327637167254}" destId="{08FAD8DB-C657-4D4B-9B6F-02E8C7AD4AAB}" srcOrd="0" destOrd="0" presId="urn:microsoft.com/office/officeart/2005/8/layout/orgChart1"/>
    <dgm:cxn modelId="{8F8B6250-4823-4A44-BE2B-ADB232F7DABC}" type="presParOf" srcId="{08FAD8DB-C657-4D4B-9B6F-02E8C7AD4AAB}" destId="{A7960B07-EEFC-4710-BDAF-34ACBAA98362}" srcOrd="0" destOrd="0" presId="urn:microsoft.com/office/officeart/2005/8/layout/orgChart1"/>
    <dgm:cxn modelId="{60D788F3-5679-4992-B8E8-C1110FBCD841}" type="presParOf" srcId="{08FAD8DB-C657-4D4B-9B6F-02E8C7AD4AAB}" destId="{04A6C37B-F206-4EB4-B2B1-F6F22C728639}" srcOrd="1" destOrd="0" presId="urn:microsoft.com/office/officeart/2005/8/layout/orgChart1"/>
    <dgm:cxn modelId="{5C4225C2-4AED-46A3-8CA8-358D2165A685}" type="presParOf" srcId="{D134D632-C1E9-4C6B-86B6-327637167254}" destId="{2B0FE345-5838-4A79-BE3D-F33A721291C9}" srcOrd="1" destOrd="0" presId="urn:microsoft.com/office/officeart/2005/8/layout/orgChart1"/>
    <dgm:cxn modelId="{C4E72661-EA69-4684-A12D-D0C48330C87C}" type="presParOf" srcId="{D134D632-C1E9-4C6B-86B6-327637167254}" destId="{D40DB8D7-0670-44EB-A15A-D48B80ED8F4B}" srcOrd="2" destOrd="0" presId="urn:microsoft.com/office/officeart/2005/8/layout/orgChart1"/>
    <dgm:cxn modelId="{ADFA98A3-72D7-4862-A283-552BBD71775C}" type="presParOf" srcId="{291B74D1-4B37-48B7-A2FB-AD125B7677A1}" destId="{176B4726-93F8-4732-96FE-37C38DE9057E}" srcOrd="4" destOrd="0" presId="urn:microsoft.com/office/officeart/2005/8/layout/orgChart1"/>
    <dgm:cxn modelId="{BD5350C9-50AC-464F-B2B3-4C7937700636}" type="presParOf" srcId="{291B74D1-4B37-48B7-A2FB-AD125B7677A1}" destId="{AF48B329-42A1-4181-812D-E3DCCF4BD6E0}" srcOrd="5" destOrd="0" presId="urn:microsoft.com/office/officeart/2005/8/layout/orgChart1"/>
    <dgm:cxn modelId="{89DA7193-256C-41DA-94B5-7D6C2C73C23B}" type="presParOf" srcId="{AF48B329-42A1-4181-812D-E3DCCF4BD6E0}" destId="{9E18271B-151F-4F21-A47E-93DA39B7BADB}" srcOrd="0" destOrd="0" presId="urn:microsoft.com/office/officeart/2005/8/layout/orgChart1"/>
    <dgm:cxn modelId="{735D9009-7869-4A01-8646-8D68A5327247}" type="presParOf" srcId="{9E18271B-151F-4F21-A47E-93DA39B7BADB}" destId="{3DFDFEC1-77D3-42B4-AB34-613A5C17FF79}" srcOrd="0" destOrd="0" presId="urn:microsoft.com/office/officeart/2005/8/layout/orgChart1"/>
    <dgm:cxn modelId="{57B9AFE6-FBD9-44E6-A171-A1EF1127AF68}" type="presParOf" srcId="{9E18271B-151F-4F21-A47E-93DA39B7BADB}" destId="{8ADF368C-0D42-4D2A-923F-62FF5C1B886F}" srcOrd="1" destOrd="0" presId="urn:microsoft.com/office/officeart/2005/8/layout/orgChart1"/>
    <dgm:cxn modelId="{E307D898-6DE2-42FB-9907-A8E822934843}" type="presParOf" srcId="{AF48B329-42A1-4181-812D-E3DCCF4BD6E0}" destId="{C49124CA-3E27-47CD-BE6F-3A5B67F57E39}" srcOrd="1" destOrd="0" presId="urn:microsoft.com/office/officeart/2005/8/layout/orgChart1"/>
    <dgm:cxn modelId="{5D808C51-2CC0-429F-81AC-C9F48C63341A}" type="presParOf" srcId="{AF48B329-42A1-4181-812D-E3DCCF4BD6E0}" destId="{1FA8DDD2-35A2-4D1F-B3E4-045C9AD3706B}" srcOrd="2" destOrd="0" presId="urn:microsoft.com/office/officeart/2005/8/layout/orgChart1"/>
    <dgm:cxn modelId="{C4248642-57C6-4818-B2E7-66FF96A632E8}" type="presParOf" srcId="{291B74D1-4B37-48B7-A2FB-AD125B7677A1}" destId="{01C13ADD-EBB4-4160-8D26-08E8B84C86F5}" srcOrd="6" destOrd="0" presId="urn:microsoft.com/office/officeart/2005/8/layout/orgChart1"/>
    <dgm:cxn modelId="{61FCF803-45A6-4B0C-A8E1-2F1891C4FC04}" type="presParOf" srcId="{291B74D1-4B37-48B7-A2FB-AD125B7677A1}" destId="{2844F15F-A926-4549-81AE-4FEB6029A612}" srcOrd="7" destOrd="0" presId="urn:microsoft.com/office/officeart/2005/8/layout/orgChart1"/>
    <dgm:cxn modelId="{D2609479-347E-4AB6-9C90-4F9D535EE7BD}" type="presParOf" srcId="{2844F15F-A926-4549-81AE-4FEB6029A612}" destId="{5B328837-B249-41A0-942E-B67A8BEC4DD7}" srcOrd="0" destOrd="0" presId="urn:microsoft.com/office/officeart/2005/8/layout/orgChart1"/>
    <dgm:cxn modelId="{48A3B1AE-9181-4AEB-A918-8D91EEA3B6B3}" type="presParOf" srcId="{5B328837-B249-41A0-942E-B67A8BEC4DD7}" destId="{C5A91A3F-966F-4F54-8467-871E4CD0EBDE}" srcOrd="0" destOrd="0" presId="urn:microsoft.com/office/officeart/2005/8/layout/orgChart1"/>
    <dgm:cxn modelId="{686D9943-F24A-4544-8615-C7C3C1E2BA20}" type="presParOf" srcId="{5B328837-B249-41A0-942E-B67A8BEC4DD7}" destId="{3C22114B-ABDB-4F87-BB9C-8B318E82FC52}" srcOrd="1" destOrd="0" presId="urn:microsoft.com/office/officeart/2005/8/layout/orgChart1"/>
    <dgm:cxn modelId="{58558819-A991-4090-AA26-A26C1934E99B}" type="presParOf" srcId="{2844F15F-A926-4549-81AE-4FEB6029A612}" destId="{171BF52A-307A-46E8-966D-68D3AF927CC5}" srcOrd="1" destOrd="0" presId="urn:microsoft.com/office/officeart/2005/8/layout/orgChart1"/>
    <dgm:cxn modelId="{DC353E6D-9206-40A8-B8C1-68F9929907AD}" type="presParOf" srcId="{2844F15F-A926-4549-81AE-4FEB6029A612}" destId="{8B42205C-E189-4FF2-93FD-BCFABD3769A8}" srcOrd="2" destOrd="0" presId="urn:microsoft.com/office/officeart/2005/8/layout/orgChart1"/>
    <dgm:cxn modelId="{62AA29A2-E608-4863-AF73-241B4A11B0C8}" type="presParOf" srcId="{65A24110-8522-49F9-BDBA-872C85F8EAAD}" destId="{CA6F93F9-12CF-40AD-8209-CFC10C25636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C13ADD-EBB4-4160-8D26-08E8B84C86F5}">
      <dsp:nvSpPr>
        <dsp:cNvPr id="0" name=""/>
        <dsp:cNvSpPr/>
      </dsp:nvSpPr>
      <dsp:spPr>
        <a:xfrm>
          <a:off x="2260600" y="799273"/>
          <a:ext cx="1770515" cy="204853"/>
        </a:xfrm>
        <a:custGeom>
          <a:avLst/>
          <a:gdLst/>
          <a:ahLst/>
          <a:cxnLst/>
          <a:rect l="0" t="0" r="0" b="0"/>
          <a:pathLst>
            <a:path>
              <a:moveTo>
                <a:pt x="0" y="0"/>
              </a:moveTo>
              <a:lnTo>
                <a:pt x="0" y="102426"/>
              </a:lnTo>
              <a:lnTo>
                <a:pt x="1770515" y="102426"/>
              </a:lnTo>
              <a:lnTo>
                <a:pt x="1770515" y="2048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B4726-93F8-4732-96FE-37C38DE9057E}">
      <dsp:nvSpPr>
        <dsp:cNvPr id="0" name=""/>
        <dsp:cNvSpPr/>
      </dsp:nvSpPr>
      <dsp:spPr>
        <a:xfrm>
          <a:off x="2260600" y="799273"/>
          <a:ext cx="590171" cy="204853"/>
        </a:xfrm>
        <a:custGeom>
          <a:avLst/>
          <a:gdLst/>
          <a:ahLst/>
          <a:cxnLst/>
          <a:rect l="0" t="0" r="0" b="0"/>
          <a:pathLst>
            <a:path>
              <a:moveTo>
                <a:pt x="0" y="0"/>
              </a:moveTo>
              <a:lnTo>
                <a:pt x="0" y="102426"/>
              </a:lnTo>
              <a:lnTo>
                <a:pt x="590171" y="102426"/>
              </a:lnTo>
              <a:lnTo>
                <a:pt x="590171" y="2048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7F85E-9A99-4E1D-9908-C78C1E772FAF}">
      <dsp:nvSpPr>
        <dsp:cNvPr id="0" name=""/>
        <dsp:cNvSpPr/>
      </dsp:nvSpPr>
      <dsp:spPr>
        <a:xfrm>
          <a:off x="1670428" y="799273"/>
          <a:ext cx="590171" cy="204853"/>
        </a:xfrm>
        <a:custGeom>
          <a:avLst/>
          <a:gdLst/>
          <a:ahLst/>
          <a:cxnLst/>
          <a:rect l="0" t="0" r="0" b="0"/>
          <a:pathLst>
            <a:path>
              <a:moveTo>
                <a:pt x="590171" y="0"/>
              </a:moveTo>
              <a:lnTo>
                <a:pt x="590171" y="102426"/>
              </a:lnTo>
              <a:lnTo>
                <a:pt x="0" y="102426"/>
              </a:lnTo>
              <a:lnTo>
                <a:pt x="0" y="2048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2E9BA-7445-466D-AF70-10494E62E187}">
      <dsp:nvSpPr>
        <dsp:cNvPr id="0" name=""/>
        <dsp:cNvSpPr/>
      </dsp:nvSpPr>
      <dsp:spPr>
        <a:xfrm>
          <a:off x="490084" y="799273"/>
          <a:ext cx="1770515" cy="204853"/>
        </a:xfrm>
        <a:custGeom>
          <a:avLst/>
          <a:gdLst/>
          <a:ahLst/>
          <a:cxnLst/>
          <a:rect l="0" t="0" r="0" b="0"/>
          <a:pathLst>
            <a:path>
              <a:moveTo>
                <a:pt x="1770515" y="0"/>
              </a:moveTo>
              <a:lnTo>
                <a:pt x="1770515" y="102426"/>
              </a:lnTo>
              <a:lnTo>
                <a:pt x="0" y="102426"/>
              </a:lnTo>
              <a:lnTo>
                <a:pt x="0" y="2048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EA7617-055E-4878-8224-56D79EE01C39}">
      <dsp:nvSpPr>
        <dsp:cNvPr id="0" name=""/>
        <dsp:cNvSpPr/>
      </dsp:nvSpPr>
      <dsp:spPr>
        <a:xfrm>
          <a:off x="1772854" y="311528"/>
          <a:ext cx="975490" cy="4877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National Public Budget</a:t>
          </a:r>
        </a:p>
      </dsp:txBody>
      <dsp:txXfrm>
        <a:off x="1772854" y="311528"/>
        <a:ext cx="975490" cy="487745"/>
      </dsp:txXfrm>
    </dsp:sp>
    <dsp:sp modelId="{D027B3EC-CF1E-41A5-8BB5-16C4580640A6}">
      <dsp:nvSpPr>
        <dsp:cNvPr id="0" name=""/>
        <dsp:cNvSpPr/>
      </dsp:nvSpPr>
      <dsp:spPr>
        <a:xfrm>
          <a:off x="2338" y="1004126"/>
          <a:ext cx="975490" cy="4877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State Budget (BS)</a:t>
          </a:r>
        </a:p>
      </dsp:txBody>
      <dsp:txXfrm>
        <a:off x="2338" y="1004126"/>
        <a:ext cx="975490" cy="487745"/>
      </dsp:txXfrm>
    </dsp:sp>
    <dsp:sp modelId="{A7960B07-EEFC-4710-BDAF-34ACBAA98362}">
      <dsp:nvSpPr>
        <dsp:cNvPr id="0" name=""/>
        <dsp:cNvSpPr/>
      </dsp:nvSpPr>
      <dsp:spPr>
        <a:xfrm>
          <a:off x="1182682" y="1004126"/>
          <a:ext cx="975490" cy="4877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Administrative Territorial Units Budget (BUAT)</a:t>
          </a:r>
        </a:p>
      </dsp:txBody>
      <dsp:txXfrm>
        <a:off x="1182682" y="1004126"/>
        <a:ext cx="975490" cy="487745"/>
      </dsp:txXfrm>
    </dsp:sp>
    <dsp:sp modelId="{3DFDFEC1-77D3-42B4-AB34-613A5C17FF79}">
      <dsp:nvSpPr>
        <dsp:cNvPr id="0" name=""/>
        <dsp:cNvSpPr/>
      </dsp:nvSpPr>
      <dsp:spPr>
        <a:xfrm>
          <a:off x="2363026" y="1004126"/>
          <a:ext cx="975490" cy="4877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National Social Insurance Fund (BASS)</a:t>
          </a:r>
        </a:p>
      </dsp:txBody>
      <dsp:txXfrm>
        <a:off x="2363026" y="1004126"/>
        <a:ext cx="975490" cy="487745"/>
      </dsp:txXfrm>
    </dsp:sp>
    <dsp:sp modelId="{C5A91A3F-966F-4F54-8467-871E4CD0EBDE}">
      <dsp:nvSpPr>
        <dsp:cNvPr id="0" name=""/>
        <dsp:cNvSpPr/>
      </dsp:nvSpPr>
      <dsp:spPr>
        <a:xfrm>
          <a:off x="3543370" y="1004126"/>
          <a:ext cx="975490" cy="4877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Mandatory Health Insurance Fund (FAOAM)</a:t>
          </a:r>
        </a:p>
      </dsp:txBody>
      <dsp:txXfrm>
        <a:off x="3543370" y="1004126"/>
        <a:ext cx="975490" cy="4877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C723ABC-2936-45CA-B723-68F8B77F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18424</TotalTime>
  <Pages>53</Pages>
  <Words>18020</Words>
  <Characters>102717</Characters>
  <Application>Microsoft Office Word</Application>
  <DocSecurity>0</DocSecurity>
  <Lines>855</Lines>
  <Paragraphs>240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120497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wb340186</dc:creator>
  <cp:lastModifiedBy>Irina Capita</cp:lastModifiedBy>
  <cp:revision>99</cp:revision>
  <cp:lastPrinted>2018-09-28T22:57:00Z</cp:lastPrinted>
  <dcterms:created xsi:type="dcterms:W3CDTF">2018-09-11T18:45:00Z</dcterms:created>
  <dcterms:modified xsi:type="dcterms:W3CDTF">2018-10-01T01:41:00Z</dcterms:modified>
</cp:coreProperties>
</file>