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CE0611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CE0611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7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F441E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41E1">
        <w:rPr>
          <w:rFonts w:ascii="Times New Roman" w:hAnsi="Times New Roman"/>
          <w:sz w:val="24"/>
          <w:szCs w:val="24"/>
          <w:lang w:val="ro-RO"/>
        </w:rPr>
        <w:t>31 martie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A42E0F">
        <w:rPr>
          <w:rFonts w:ascii="Times New Roman" w:hAnsi="Times New Roman"/>
          <w:sz w:val="24"/>
          <w:szCs w:val="24"/>
          <w:lang w:val="ro-RO"/>
        </w:rPr>
        <w:t>8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165C2D">
        <w:rPr>
          <w:rFonts w:ascii="Times New Roman" w:hAnsi="Times New Roman"/>
          <w:sz w:val="24"/>
          <w:szCs w:val="24"/>
          <w:lang w:val="ro-RO"/>
        </w:rPr>
        <w:t>47,4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65C2D">
        <w:rPr>
          <w:rFonts w:ascii="Times New Roman" w:hAnsi="Times New Roman"/>
          <w:sz w:val="24"/>
          <w:szCs w:val="24"/>
          <w:lang w:val="ro-RO"/>
        </w:rPr>
        <w:t>6,9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65C2D">
        <w:rPr>
          <w:rFonts w:ascii="Times New Roman" w:hAnsi="Times New Roman"/>
          <w:sz w:val="24"/>
          <w:szCs w:val="24"/>
          <w:lang w:val="ro-RO"/>
        </w:rPr>
        <w:t>40,5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F441E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F441E1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F441E1" w:rsidP="0088027A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F441E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8135A9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F441E1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F441E1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F441E1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47,4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F441E1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10,4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F441E1" w:rsidP="004A72AA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28,1</w:t>
            </w:r>
          </w:p>
        </w:tc>
      </w:tr>
      <w:tr w:rsidR="00B51C86" w:rsidRPr="00F441E1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F441E1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6,9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F441E1" w:rsidP="00F441E1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4,2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D50171" w:rsidP="001C1BFB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155</w:t>
            </w:r>
            <w:r w:rsidR="001C1BFB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B51C86" w:rsidRPr="00A73A9C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F441E1" w:rsidP="00396A4E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40,5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34,3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F441E1" w:rsidP="00D20131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F441E1" w:rsidP="00D20131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18,1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0055B1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A42E0F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fr-FR"/>
        </w:rPr>
        <w:t>majorat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F441E1">
        <w:rPr>
          <w:rFonts w:ascii="Times New Roman" w:hAnsi="Times New Roman"/>
          <w:sz w:val="24"/>
          <w:szCs w:val="24"/>
          <w:lang w:val="fr-FR"/>
        </w:rPr>
        <w:t>28,1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F441E1">
        <w:rPr>
          <w:rFonts w:ascii="Times New Roman" w:hAnsi="Times New Roman"/>
          <w:sz w:val="24"/>
          <w:szCs w:val="24"/>
          <w:lang w:val="fr-FR"/>
        </w:rPr>
        <w:t>10,4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24D0D">
        <w:rPr>
          <w:rFonts w:ascii="Times New Roman" w:hAnsi="Times New Roman"/>
          <w:sz w:val="24"/>
          <w:szCs w:val="24"/>
          <w:lang w:val="fr-FR"/>
        </w:rPr>
        <w:t>i</w:t>
      </w:r>
      <w:r w:rsidR="006C60B5"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</w:t>
      </w:r>
      <w:r w:rsidR="00D50171">
        <w:rPr>
          <w:rFonts w:ascii="Times New Roman" w:hAnsi="Times New Roman"/>
          <w:sz w:val="24"/>
          <w:szCs w:val="24"/>
          <w:lang w:val="fr-FR"/>
        </w:rPr>
        <w:t>155</w:t>
      </w:r>
      <w:r w:rsidR="001C1BFB">
        <w:rPr>
          <w:rFonts w:ascii="Times New Roman" w:hAnsi="Times New Roman"/>
          <w:sz w:val="24"/>
          <w:szCs w:val="24"/>
          <w:lang w:val="fr-FR"/>
        </w:rPr>
        <w:t>,</w:t>
      </w:r>
      <w:r w:rsidR="00D50171">
        <w:rPr>
          <w:rFonts w:ascii="Times New Roman" w:hAnsi="Times New Roman"/>
          <w:sz w:val="24"/>
          <w:szCs w:val="24"/>
          <w:lang w:val="fr-FR"/>
        </w:rPr>
        <w:t>6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% 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D20131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441E1">
        <w:rPr>
          <w:rFonts w:ascii="Times New Roman" w:hAnsi="Times New Roman"/>
          <w:sz w:val="24"/>
          <w:szCs w:val="24"/>
          <w:lang w:val="fr-FR"/>
        </w:rPr>
        <w:t>4,2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și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41E1">
        <w:rPr>
          <w:rFonts w:ascii="Times New Roman" w:hAnsi="Times New Roman"/>
          <w:sz w:val="24"/>
          <w:szCs w:val="24"/>
          <w:lang w:val="en-US"/>
        </w:rPr>
        <w:t>18,1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F441E1">
        <w:rPr>
          <w:rFonts w:ascii="Times New Roman" w:hAnsi="Times New Roman"/>
          <w:sz w:val="24"/>
          <w:szCs w:val="24"/>
          <w:lang w:val="en-US"/>
        </w:rPr>
        <w:t>6,2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F441E1">
        <w:rPr>
          <w:rFonts w:ascii="Times New Roman" w:hAnsi="Times New Roman"/>
          <w:sz w:val="24"/>
          <w:szCs w:val="24"/>
        </w:rPr>
        <w:t>14,6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F441E1">
        <w:rPr>
          <w:rFonts w:ascii="Times New Roman" w:hAnsi="Times New Roman"/>
          <w:sz w:val="24"/>
          <w:szCs w:val="24"/>
        </w:rPr>
        <w:t>6,9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F441E1">
        <w:rPr>
          <w:rFonts w:ascii="Times New Roman" w:hAnsi="Times New Roman"/>
          <w:sz w:val="24"/>
          <w:szCs w:val="24"/>
        </w:rPr>
        <w:t>85,4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F441E1">
        <w:rPr>
          <w:rFonts w:ascii="Times New Roman" w:hAnsi="Times New Roman"/>
          <w:sz w:val="24"/>
          <w:szCs w:val="24"/>
        </w:rPr>
        <w:t>40,5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FE781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70075" cy="3124862"/>
            <wp:effectExtent l="19050" t="0" r="25925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CE0611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CE0611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96.05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F441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A42E0F" w:rsidRPr="00A42E0F" w:rsidRDefault="00A42E0F" w:rsidP="0057710D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F441E1">
        <w:rPr>
          <w:rFonts w:ascii="Times New Roman" w:hAnsi="Times New Roman"/>
          <w:sz w:val="24"/>
          <w:szCs w:val="24"/>
          <w:lang w:val="ro-RO"/>
        </w:rPr>
        <w:t>6,2</w:t>
      </w:r>
      <w:r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024564" w:rsidRDefault="00024564" w:rsidP="00024564">
      <w:pPr>
        <w:pStyle w:val="ListParagraph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4A72A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4A72AA">
        <w:rPr>
          <w:rFonts w:ascii="Times New Roman" w:hAnsi="Times New Roman"/>
          <w:color w:val="000000" w:themeColor="text1"/>
          <w:sz w:val="24"/>
          <w:szCs w:val="24"/>
          <w:lang w:val="ro-RO"/>
        </w:rPr>
        <w:t>2,</w:t>
      </w:r>
      <w:r w:rsidR="00F441E1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="004A72A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4A72A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 inclusiv:</w:t>
      </w:r>
      <w:r w:rsidR="004A72AA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024564" w:rsidRDefault="00024564" w:rsidP="00024564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F441E1">
        <w:rPr>
          <w:rFonts w:ascii="Times New Roman" w:hAnsi="Times New Roman"/>
          <w:color w:val="000000" w:themeColor="text1"/>
          <w:sz w:val="24"/>
          <w:szCs w:val="24"/>
          <w:lang w:val="ro-RO"/>
        </w:rPr>
        <w:t>2,8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24564" w:rsidRPr="001A2C15" w:rsidRDefault="00024564" w:rsidP="00024564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="00F441E1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41E1">
        <w:rPr>
          <w:rFonts w:ascii="Times New Roman" w:hAnsi="Times New Roman"/>
          <w:sz w:val="24"/>
          <w:szCs w:val="24"/>
          <w:lang w:val="ro-RO"/>
        </w:rPr>
        <w:t xml:space="preserve">s-au micșorat </w:t>
      </w:r>
      <w:r>
        <w:rPr>
          <w:rFonts w:ascii="Times New Roman" w:hAnsi="Times New Roman"/>
          <w:sz w:val="24"/>
          <w:szCs w:val="24"/>
          <w:lang w:val="ro-RO"/>
        </w:rPr>
        <w:t>– cu 0,</w:t>
      </w:r>
      <w:r w:rsidR="00F441E1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7100DE" w:rsidRPr="00491B16" w:rsidRDefault="00CF43D8" w:rsidP="007100DE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 w:rsidR="00F441E1"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D50171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7100D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7100DE">
        <w:rPr>
          <w:rFonts w:ascii="Times New Roman" w:hAnsi="Times New Roman"/>
          <w:sz w:val="24"/>
          <w:szCs w:val="24"/>
          <w:lang w:val="ro-RO"/>
        </w:rPr>
        <w:t>inclusiv</w:t>
      </w:r>
      <w:r w:rsidR="007100DE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7100DE" w:rsidRDefault="007100DE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D50171"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7100DE" w:rsidRDefault="007100DE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– cu 0,</w:t>
      </w:r>
      <w:r w:rsidR="00F441E1">
        <w:rPr>
          <w:rFonts w:ascii="Times New Roman" w:hAnsi="Times New Roman"/>
          <w:sz w:val="24"/>
          <w:szCs w:val="24"/>
          <w:lang w:val="ro-RO"/>
        </w:rPr>
        <w:t>7</w:t>
      </w:r>
      <w:r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024564" w:rsidRPr="00491B16" w:rsidRDefault="00024564" w:rsidP="00024564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F441E1">
        <w:rPr>
          <w:rFonts w:ascii="Times New Roman" w:hAnsi="Times New Roman"/>
          <w:sz w:val="24"/>
          <w:szCs w:val="24"/>
          <w:lang w:val="ro-RO"/>
        </w:rPr>
        <w:t>5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024564" w:rsidRDefault="00024564" w:rsidP="00024564">
      <w:pPr>
        <w:pStyle w:val="ListParagraph"/>
        <w:spacing w:after="0"/>
        <w:ind w:left="1096" w:hanging="387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F060A5"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F441E1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24564" w:rsidRDefault="00F441E1" w:rsidP="007100DE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60A5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F060A5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60A5">
        <w:rPr>
          <w:rFonts w:ascii="Times New Roman" w:hAnsi="Times New Roman"/>
          <w:sz w:val="24"/>
          <w:szCs w:val="24"/>
          <w:lang w:val="ro-RO"/>
        </w:rPr>
        <w:t>– cu 0,1 mil.lei.</w:t>
      </w:r>
    </w:p>
    <w:p w:rsidR="00CF43D8" w:rsidRDefault="00CF43D8" w:rsidP="00CF43D8">
      <w:pPr>
        <w:pStyle w:val="ListParagraph"/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43D8" w:rsidRPr="00CF43D8" w:rsidRDefault="00CF43D8" w:rsidP="00CF43D8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Pr="00CF43D8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CF43D8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F43D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CF43D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s-au micșorat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CF43D8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F060A5" w:rsidRPr="00CF43D8" w:rsidRDefault="00CF43D8" w:rsidP="00CF43D8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left="630" w:hanging="204"/>
        <w:jc w:val="both"/>
        <w:rPr>
          <w:rFonts w:ascii="Times New Roman" w:hAnsi="Times New Roman"/>
          <w:sz w:val="24"/>
          <w:szCs w:val="24"/>
          <w:lang w:val="ro-RO"/>
        </w:rPr>
      </w:pPr>
      <w:r w:rsidRPr="00CF43D8">
        <w:rPr>
          <w:rFonts w:ascii="Times New Roman" w:hAnsi="Times New Roman"/>
          <w:sz w:val="24"/>
          <w:szCs w:val="24"/>
          <w:lang w:val="ro-RO"/>
        </w:rPr>
        <w:t xml:space="preserve"> reparații capitale ale mijloacelor fixe – cu 0,3 mil.lei pe bugetele locale</w:t>
      </w:r>
      <w:r w:rsidRPr="00CF43D8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024564" w:rsidRDefault="007100DE" w:rsidP="00024564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02456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24564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="00CF43D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24564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0,</w:t>
      </w:r>
      <w:r w:rsidR="00304A1B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="00024564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CF43D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CF43D8" w:rsidRPr="0018708B">
        <w:rPr>
          <w:rFonts w:ascii="Times New Roman" w:hAnsi="Times New Roman"/>
          <w:sz w:val="24"/>
          <w:szCs w:val="24"/>
          <w:lang w:val="ro-RO"/>
        </w:rPr>
        <w:t>pe bugetele locale</w:t>
      </w:r>
      <w:r w:rsidR="00CF43D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024564" w:rsidRPr="00024564" w:rsidRDefault="00024564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08B" w:rsidRPr="00194824" w:rsidRDefault="0018708B" w:rsidP="0002456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08B" w:rsidRDefault="00CF43D8" w:rsidP="0088027A">
      <w:pPr>
        <w:pStyle w:val="ListParagraph"/>
        <w:spacing w:after="120"/>
        <w:ind w:left="786" w:hanging="78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F43D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52515" cy="3564890"/>
            <wp:effectExtent l="19050" t="0" r="63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6256" w:rsidRPr="00C56256" w:rsidRDefault="00C56256" w:rsidP="00C56256">
      <w:pPr>
        <w:pStyle w:val="ListParagraph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EC37CC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F93B6A" w:rsidRDefault="007B51C3" w:rsidP="00EF50FE">
      <w:pPr>
        <w:tabs>
          <w:tab w:val="left" w:pos="2241"/>
        </w:tabs>
        <w:ind w:hanging="709"/>
        <w:rPr>
          <w:rFonts w:ascii="Times New Roman" w:hAnsi="Times New Roman"/>
          <w:sz w:val="24"/>
          <w:szCs w:val="24"/>
          <w:lang w:val="ro-RO"/>
        </w:rPr>
      </w:pPr>
    </w:p>
    <w:sectPr w:rsidR="007B51C3" w:rsidRPr="00F93B6A" w:rsidSect="005B47D6">
      <w:headerReference w:type="even" r:id="rId10"/>
      <w:footerReference w:type="default" r:id="rId11"/>
      <w:type w:val="continuous"/>
      <w:pgSz w:w="11906" w:h="16838" w:code="9"/>
      <w:pgMar w:top="993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D7" w:rsidRDefault="008B44D7" w:rsidP="00FF3F3E">
      <w:pPr>
        <w:spacing w:after="0" w:line="240" w:lineRule="auto"/>
      </w:pPr>
      <w:r>
        <w:separator/>
      </w:r>
    </w:p>
  </w:endnote>
  <w:endnote w:type="continuationSeparator" w:id="1">
    <w:p w:rsidR="008B44D7" w:rsidRDefault="008B44D7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CE061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C1BFB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D7" w:rsidRDefault="008B44D7" w:rsidP="00FF3F3E">
      <w:pPr>
        <w:spacing w:after="0" w:line="240" w:lineRule="auto"/>
      </w:pPr>
      <w:r>
        <w:separator/>
      </w:r>
    </w:p>
  </w:footnote>
  <w:footnote w:type="continuationSeparator" w:id="1">
    <w:p w:rsidR="008B44D7" w:rsidRDefault="008B44D7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1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AAF677E"/>
    <w:multiLevelType w:val="hybridMultilevel"/>
    <w:tmpl w:val="8A94ED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21"/>
  </w:num>
  <w:num w:numId="5">
    <w:abstractNumId w:val="13"/>
  </w:num>
  <w:num w:numId="6">
    <w:abstractNumId w:val="17"/>
  </w:num>
  <w:num w:numId="7">
    <w:abstractNumId w:val="14"/>
  </w:num>
  <w:num w:numId="8">
    <w:abstractNumId w:val="22"/>
  </w:num>
  <w:num w:numId="9">
    <w:abstractNumId w:val="24"/>
  </w:num>
  <w:num w:numId="10">
    <w:abstractNumId w:val="26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4"/>
  </w:num>
  <w:num w:numId="26">
    <w:abstractNumId w:val="16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4000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B8F"/>
    <w:rsid w:val="00760CD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47C9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611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5B72"/>
    <w:rsid w:val="00D064F5"/>
    <w:rsid w:val="00D073A8"/>
    <w:rsid w:val="00D078C8"/>
    <w:rsid w:val="00D0798F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RM%202017\mai\diagrame%202RM%20%201%20(2)%20%20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018\Arierate%20%202018\martie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8803565395911022E-2"/>
          <c:y val="0.13074131481596493"/>
          <c:w val="0.79249187910917784"/>
          <c:h val="0.7490160580321160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72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 de stat </a:t>
                    </a: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6,9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14,6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6353587064410238"/>
                  <c:y val="-1.532515675892256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Bugetele locale</a:t>
                    </a:r>
                  </a:p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40,5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85,4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Bugetul Local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2.7</c:v>
                </c:pt>
                <c:pt idx="1">
                  <c:v>34.300000000000004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1.1162692528154199E-3"/>
          <c:y val="5.4490678077107904E-2"/>
          <c:w val="0.96706311488346797"/>
          <c:h val="0.66619598561741278"/>
        </c:manualLayout>
      </c:layout>
      <c:bar3DChart>
        <c:barDir val="col"/>
        <c:grouping val="clustered"/>
        <c:ser>
          <c:idx val="0"/>
          <c:order val="0"/>
          <c:tx>
            <c:strRef>
              <c:f>CT!$D$5</c:f>
              <c:strCache>
                <c:ptCount val="1"/>
                <c:pt idx="0">
                  <c:v>01.01.2018</c:v>
                </c:pt>
              </c:strCache>
            </c:strRef>
          </c:tx>
          <c:dLbls>
            <c:dLbl>
              <c:idx val="0"/>
              <c:layout>
                <c:manualLayout>
                  <c:x val="1.291624539493264E-2"/>
                  <c:y val="9.9173527904333203E-3"/>
                </c:manualLayout>
              </c:layout>
              <c:showVal val="1"/>
            </c:dLbl>
            <c:dLbl>
              <c:idx val="1"/>
              <c:layout>
                <c:manualLayout>
                  <c:x val="9.687184046199479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CT!$D$6:$D$14</c:f>
              <c:numCache>
                <c:formatCode>General</c:formatCode>
                <c:ptCount val="9"/>
                <c:pt idx="0" formatCode="0.0">
                  <c:v>37</c:v>
                </c:pt>
                <c:pt idx="1">
                  <c:v>21.2</c:v>
                </c:pt>
                <c:pt idx="2" formatCode="0.0">
                  <c:v>8.2000000000000011</c:v>
                </c:pt>
                <c:pt idx="3" formatCode="0.0">
                  <c:v>5.9</c:v>
                </c:pt>
                <c:pt idx="4" formatCode="0.0">
                  <c:v>0.70000000000000062</c:v>
                </c:pt>
                <c:pt idx="5">
                  <c:v>0.4</c:v>
                </c:pt>
                <c:pt idx="6" formatCode="0.0">
                  <c:v>0.4</c:v>
                </c:pt>
                <c:pt idx="7" formatCode="0.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31.03.2018</c:v>
                </c:pt>
              </c:strCache>
            </c:strRef>
          </c:tx>
          <c:dLbls>
            <c:dLbl>
              <c:idx val="0"/>
              <c:layout>
                <c:manualLayout>
                  <c:x val="1.1301714720566083E-2"/>
                  <c:y val="3.3057842634778216E-3"/>
                </c:manualLayout>
              </c:layout>
              <c:showVal val="1"/>
            </c:dLbl>
            <c:dLbl>
              <c:idx val="1"/>
              <c:layout>
                <c:manualLayout>
                  <c:x val="8.072653371832976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CT!$E$6:$E$14</c:f>
              <c:numCache>
                <c:formatCode>General</c:formatCode>
                <c:ptCount val="9"/>
                <c:pt idx="0" formatCode="0.0">
                  <c:v>47.4</c:v>
                </c:pt>
                <c:pt idx="1">
                  <c:v>20.9</c:v>
                </c:pt>
                <c:pt idx="2" formatCode="0.0">
                  <c:v>9.8000000000000007</c:v>
                </c:pt>
                <c:pt idx="3" formatCode="0.0">
                  <c:v>12.1</c:v>
                </c:pt>
                <c:pt idx="4" formatCode="0.0">
                  <c:v>3.2</c:v>
                </c:pt>
                <c:pt idx="5">
                  <c:v>0.9</c:v>
                </c:pt>
                <c:pt idx="6" formatCode="0.0">
                  <c:v>0.4</c:v>
                </c:pt>
                <c:pt idx="7" formatCode="0.0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131229184"/>
        <c:axId val="131230720"/>
        <c:axId val="0"/>
      </c:bar3DChart>
      <c:catAx>
        <c:axId val="131229184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131230720"/>
        <c:crosses val="autoZero"/>
        <c:auto val="1"/>
        <c:lblAlgn val="ctr"/>
        <c:lblOffset val="100"/>
      </c:catAx>
      <c:valAx>
        <c:axId val="13123072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31229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5599068589407872"/>
          <c:y val="0.87938537162623454"/>
          <c:w val="0.32524107434541388"/>
          <c:h val="5.9778210508697804E-2"/>
        </c:manualLayout>
      </c:layout>
    </c:legend>
    <c:plotVisOnly val="1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1935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69</cp:revision>
  <cp:lastPrinted>2018-04-24T08:35:00Z</cp:lastPrinted>
  <dcterms:created xsi:type="dcterms:W3CDTF">2017-09-15T11:42:00Z</dcterms:created>
  <dcterms:modified xsi:type="dcterms:W3CDTF">2018-04-24T08:35:00Z</dcterms:modified>
</cp:coreProperties>
</file>