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58C" w:rsidRDefault="0030758C" w:rsidP="0030758C">
      <w:pPr>
        <w:rPr>
          <w:rFonts w:ascii="Times New Roman" w:hAnsi="Times New Roman" w:cs="Times New Roman"/>
          <w:b/>
          <w:sz w:val="24"/>
          <w:szCs w:val="24"/>
          <w:lang w:val="ro-RO"/>
        </w:rPr>
      </w:pPr>
      <w:r w:rsidRPr="007C67B6">
        <w:rPr>
          <w:rFonts w:ascii="Times New Roman" w:hAnsi="Times New Roman" w:cs="Times New Roman"/>
          <w:b/>
          <w:sz w:val="24"/>
          <w:szCs w:val="24"/>
          <w:lang w:val="ro-RO"/>
        </w:rPr>
        <w:t>Progresul de implementare a Facilității de Creditare a Tinerilor (FCT).</w:t>
      </w:r>
    </w:p>
    <w:p w:rsidR="0030758C" w:rsidRPr="007C67B6" w:rsidRDefault="0030758C" w:rsidP="0030758C">
      <w:pPr>
        <w:jc w:val="both"/>
        <w:rPr>
          <w:rFonts w:ascii="Times New Roman" w:hAnsi="Times New Roman" w:cs="Times New Roman"/>
          <w:sz w:val="24"/>
          <w:szCs w:val="24"/>
          <w:lang w:val="ro-RO"/>
        </w:rPr>
      </w:pPr>
      <w:r w:rsidRPr="007C67B6">
        <w:rPr>
          <w:rFonts w:ascii="Times New Roman" w:hAnsi="Times New Roman" w:cs="Times New Roman"/>
          <w:sz w:val="24"/>
          <w:szCs w:val="24"/>
          <w:lang w:val="ro-RO"/>
        </w:rPr>
        <w:t xml:space="preserve">În perioada a </w:t>
      </w:r>
      <w:r>
        <w:rPr>
          <w:rFonts w:ascii="Times New Roman" w:hAnsi="Times New Roman" w:cs="Times New Roman"/>
          <w:sz w:val="24"/>
          <w:szCs w:val="24"/>
          <w:lang w:val="ro-RO"/>
        </w:rPr>
        <w:t>anului 2019- 30 iunie 2021</w:t>
      </w:r>
      <w:r w:rsidRPr="007C67B6">
        <w:rPr>
          <w:rFonts w:ascii="Times New Roman" w:hAnsi="Times New Roman" w:cs="Times New Roman"/>
          <w:sz w:val="24"/>
          <w:szCs w:val="24"/>
          <w:lang w:val="ro-RO"/>
        </w:rPr>
        <w:t xml:space="preserve"> </w:t>
      </w:r>
      <w:r w:rsidR="006464FE">
        <w:rPr>
          <w:rFonts w:ascii="Times New Roman" w:hAnsi="Times New Roman" w:cs="Times New Roman"/>
          <w:sz w:val="24"/>
          <w:szCs w:val="24"/>
          <w:lang w:val="ro-RO"/>
        </w:rPr>
        <w:t xml:space="preserve">in cadrul FCT </w:t>
      </w:r>
      <w:r w:rsidR="006464FE">
        <w:rPr>
          <w:rFonts w:ascii="Times New Roman" w:hAnsi="Times New Roman" w:cs="Times New Roman"/>
          <w:sz w:val="24"/>
          <w:szCs w:val="24"/>
          <w:lang w:val="ro-RO"/>
        </w:rPr>
        <w:t>la rate a dobânzii avantajoase fixe</w:t>
      </w:r>
      <w:r w:rsidR="006464FE" w:rsidRPr="007C67B6">
        <w:rPr>
          <w:rFonts w:ascii="Times New Roman" w:hAnsi="Times New Roman" w:cs="Times New Roman"/>
          <w:sz w:val="24"/>
          <w:szCs w:val="24"/>
          <w:lang w:val="ro-RO"/>
        </w:rPr>
        <w:t xml:space="preserve"> </w:t>
      </w:r>
      <w:r w:rsidRPr="007C67B6">
        <w:rPr>
          <w:rFonts w:ascii="Times New Roman" w:hAnsi="Times New Roman" w:cs="Times New Roman"/>
          <w:sz w:val="24"/>
          <w:szCs w:val="24"/>
          <w:lang w:val="ro-RO"/>
        </w:rPr>
        <w:t xml:space="preserve">au fost  finanțați </w:t>
      </w:r>
      <w:r w:rsidRPr="006464FE">
        <w:rPr>
          <w:rFonts w:ascii="Times New Roman" w:hAnsi="Times New Roman" w:cs="Times New Roman"/>
          <w:b/>
          <w:sz w:val="24"/>
          <w:szCs w:val="24"/>
          <w:lang w:val="ro-RO"/>
        </w:rPr>
        <w:t>446 de antreprenori</w:t>
      </w:r>
      <w:r w:rsidRPr="007C67B6">
        <w:rPr>
          <w:rFonts w:ascii="Times New Roman" w:hAnsi="Times New Roman" w:cs="Times New Roman"/>
          <w:sz w:val="24"/>
          <w:szCs w:val="24"/>
          <w:lang w:val="ro-RO"/>
        </w:rPr>
        <w:t xml:space="preserve"> tineri în sumă totală de circa </w:t>
      </w:r>
      <w:r w:rsidRPr="006464FE">
        <w:rPr>
          <w:rFonts w:ascii="Times New Roman" w:hAnsi="Times New Roman" w:cs="Times New Roman"/>
          <w:b/>
          <w:sz w:val="24"/>
          <w:szCs w:val="24"/>
          <w:lang w:val="ro-RO"/>
        </w:rPr>
        <w:t>256,74 mil</w:t>
      </w:r>
      <w:r w:rsidR="006464FE">
        <w:rPr>
          <w:rFonts w:ascii="Times New Roman" w:hAnsi="Times New Roman" w:cs="Times New Roman"/>
          <w:b/>
          <w:sz w:val="24"/>
          <w:szCs w:val="24"/>
          <w:lang w:val="ro-RO"/>
        </w:rPr>
        <w:t>. MDL</w:t>
      </w:r>
      <w:r w:rsidRPr="007C67B6">
        <w:rPr>
          <w:rFonts w:ascii="Times New Roman" w:hAnsi="Times New Roman" w:cs="Times New Roman"/>
          <w:sz w:val="24"/>
          <w:szCs w:val="24"/>
          <w:lang w:val="ro-RO"/>
        </w:rPr>
        <w:t xml:space="preserve">. Programul se implementează prin intermediul </w:t>
      </w:r>
      <w:r w:rsidRPr="0030758C">
        <w:rPr>
          <w:rFonts w:ascii="Times New Roman" w:hAnsi="Times New Roman" w:cs="Times New Roman"/>
          <w:sz w:val="24"/>
          <w:szCs w:val="24"/>
          <w:lang w:val="ro-MD"/>
        </w:rPr>
        <w:t>Instituțiilor Financiare Participante și s-a extins în 35</w:t>
      </w:r>
      <w:r>
        <w:rPr>
          <w:rFonts w:ascii="Times New Roman" w:hAnsi="Times New Roman" w:cs="Times New Roman"/>
          <w:sz w:val="24"/>
          <w:szCs w:val="24"/>
          <w:lang w:val="ro-RO"/>
        </w:rPr>
        <w:t xml:space="preserve"> </w:t>
      </w:r>
      <w:r w:rsidRPr="007C67B6">
        <w:rPr>
          <w:rFonts w:ascii="Times New Roman" w:hAnsi="Times New Roman" w:cs="Times New Roman"/>
          <w:sz w:val="24"/>
          <w:szCs w:val="24"/>
          <w:lang w:val="ro-RO"/>
        </w:rPr>
        <w:t xml:space="preserve">de raioane ale țării. </w:t>
      </w:r>
    </w:p>
    <w:p w:rsidR="0030758C" w:rsidRPr="007C67B6" w:rsidRDefault="0030758C" w:rsidP="0030758C">
      <w:pPr>
        <w:jc w:val="both"/>
        <w:rPr>
          <w:rFonts w:ascii="Times New Roman" w:hAnsi="Times New Roman" w:cs="Times New Roman"/>
          <w:sz w:val="24"/>
          <w:szCs w:val="24"/>
          <w:lang w:val="ro-RO"/>
        </w:rPr>
      </w:pPr>
      <w:r w:rsidRPr="007C67B6">
        <w:rPr>
          <w:rFonts w:ascii="Times New Roman" w:hAnsi="Times New Roman" w:cs="Times New Roman"/>
          <w:sz w:val="24"/>
          <w:szCs w:val="24"/>
          <w:lang w:val="ro-RO"/>
        </w:rPr>
        <w:t xml:space="preserve">Cele mai multe credite au fost acordate tinerilor antreprenori din raionul </w:t>
      </w:r>
      <w:r w:rsidR="004F217D" w:rsidRPr="007C67B6">
        <w:rPr>
          <w:rFonts w:ascii="Times New Roman" w:hAnsi="Times New Roman" w:cs="Times New Roman"/>
          <w:sz w:val="24"/>
          <w:szCs w:val="24"/>
          <w:lang w:val="ro-RO"/>
        </w:rPr>
        <w:t>Râșcani</w:t>
      </w:r>
      <w:r w:rsidRPr="007C67B6">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Pr="007C67B6">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45 in suma de 19,32 mil.lei, raionul Glodeni- 23 in suma de 11,29 mil.lei </w:t>
      </w:r>
      <w:r w:rsidRPr="007C67B6">
        <w:rPr>
          <w:rFonts w:ascii="Times New Roman" w:hAnsi="Times New Roman" w:cs="Times New Roman"/>
          <w:sz w:val="24"/>
          <w:szCs w:val="24"/>
          <w:lang w:val="ro-RO"/>
        </w:rPr>
        <w:t xml:space="preserve">și municipiul Chișinău </w:t>
      </w:r>
      <w:r>
        <w:rPr>
          <w:rFonts w:ascii="Times New Roman" w:hAnsi="Times New Roman" w:cs="Times New Roman"/>
          <w:sz w:val="24"/>
          <w:szCs w:val="24"/>
          <w:lang w:val="ro-RO"/>
        </w:rPr>
        <w:t>–</w:t>
      </w:r>
      <w:r w:rsidRPr="007C67B6">
        <w:rPr>
          <w:rFonts w:ascii="Times New Roman" w:hAnsi="Times New Roman" w:cs="Times New Roman"/>
          <w:sz w:val="24"/>
          <w:szCs w:val="24"/>
          <w:lang w:val="ro-RO"/>
        </w:rPr>
        <w:t xml:space="preserve"> </w:t>
      </w:r>
      <w:r>
        <w:rPr>
          <w:rFonts w:ascii="Times New Roman" w:hAnsi="Times New Roman" w:cs="Times New Roman"/>
          <w:sz w:val="24"/>
          <w:szCs w:val="24"/>
          <w:lang w:val="ro-RO"/>
        </w:rPr>
        <w:t>24 in suma de 18,53 mil.lei</w:t>
      </w:r>
      <w:r w:rsidR="006464FE">
        <w:rPr>
          <w:rFonts w:ascii="Times New Roman" w:hAnsi="Times New Roman" w:cs="Times New Roman"/>
          <w:sz w:val="24"/>
          <w:szCs w:val="24"/>
          <w:lang w:val="ro-RO"/>
        </w:rPr>
        <w:t>,</w:t>
      </w:r>
      <w:r w:rsidR="006464FE" w:rsidRPr="006464FE">
        <w:rPr>
          <w:rFonts w:ascii="Times New Roman" w:hAnsi="Times New Roman" w:cs="Times New Roman"/>
          <w:sz w:val="24"/>
          <w:szCs w:val="24"/>
          <w:lang w:val="ro-RO"/>
        </w:rPr>
        <w:t xml:space="preserve"> </w:t>
      </w:r>
      <w:r w:rsidR="006464FE" w:rsidRPr="007C67B6">
        <w:rPr>
          <w:rFonts w:ascii="Times New Roman" w:hAnsi="Times New Roman" w:cs="Times New Roman"/>
          <w:sz w:val="24"/>
          <w:szCs w:val="24"/>
          <w:lang w:val="ro-RO"/>
        </w:rPr>
        <w:t xml:space="preserve">UTA Găgăuzia </w:t>
      </w:r>
      <w:r w:rsidR="006464FE">
        <w:rPr>
          <w:rFonts w:ascii="Times New Roman" w:hAnsi="Times New Roman" w:cs="Times New Roman"/>
          <w:sz w:val="24"/>
          <w:szCs w:val="24"/>
          <w:lang w:val="ro-RO"/>
        </w:rPr>
        <w:t>–</w:t>
      </w:r>
      <w:r w:rsidR="006464FE" w:rsidRPr="007C67B6">
        <w:rPr>
          <w:rFonts w:ascii="Times New Roman" w:hAnsi="Times New Roman" w:cs="Times New Roman"/>
          <w:sz w:val="24"/>
          <w:szCs w:val="24"/>
          <w:lang w:val="ro-RO"/>
        </w:rPr>
        <w:t xml:space="preserve"> </w:t>
      </w:r>
      <w:r w:rsidR="006464FE">
        <w:rPr>
          <w:rFonts w:ascii="Times New Roman" w:hAnsi="Times New Roman" w:cs="Times New Roman"/>
          <w:sz w:val="24"/>
          <w:szCs w:val="24"/>
          <w:lang w:val="ro-RO"/>
        </w:rPr>
        <w:t>57 in suma de 29,63 mil.lei</w:t>
      </w:r>
      <w:r w:rsidRPr="007C67B6">
        <w:rPr>
          <w:rFonts w:ascii="Times New Roman" w:hAnsi="Times New Roman" w:cs="Times New Roman"/>
          <w:sz w:val="24"/>
          <w:szCs w:val="24"/>
          <w:lang w:val="ro-RO"/>
        </w:rPr>
        <w:t xml:space="preserve">. Ceilalți beneficiari provin din: Anenii Noi, Bălți, Basarabeasca, Călărași, Cantemir, Căușeni, Drochia, </w:t>
      </w:r>
      <w:proofErr w:type="spellStart"/>
      <w:r w:rsidRPr="007C67B6">
        <w:rPr>
          <w:rFonts w:ascii="Times New Roman" w:hAnsi="Times New Roman" w:cs="Times New Roman"/>
          <w:sz w:val="24"/>
          <w:szCs w:val="24"/>
          <w:lang w:val="ro-RO"/>
        </w:rPr>
        <w:t>Edineț</w:t>
      </w:r>
      <w:proofErr w:type="spellEnd"/>
      <w:r w:rsidRPr="007C67B6">
        <w:rPr>
          <w:rFonts w:ascii="Times New Roman" w:hAnsi="Times New Roman" w:cs="Times New Roman"/>
          <w:sz w:val="24"/>
          <w:szCs w:val="24"/>
          <w:lang w:val="ro-RO"/>
        </w:rPr>
        <w:t xml:space="preserve">, Glodeni, </w:t>
      </w:r>
      <w:proofErr w:type="spellStart"/>
      <w:r w:rsidRPr="007C67B6">
        <w:rPr>
          <w:rFonts w:ascii="Times New Roman" w:hAnsi="Times New Roman" w:cs="Times New Roman"/>
          <w:sz w:val="24"/>
          <w:szCs w:val="24"/>
          <w:lang w:val="ro-RO"/>
        </w:rPr>
        <w:t>Hîncești</w:t>
      </w:r>
      <w:proofErr w:type="spellEnd"/>
      <w:r w:rsidRPr="007C67B6">
        <w:rPr>
          <w:rFonts w:ascii="Times New Roman" w:hAnsi="Times New Roman" w:cs="Times New Roman"/>
          <w:sz w:val="24"/>
          <w:szCs w:val="24"/>
          <w:lang w:val="ro-RO"/>
        </w:rPr>
        <w:t>, Ialoveni, Leova, Nisporeni, Orhei, Rezina, Șoldănești, Soroca, Taraclia</w:t>
      </w:r>
      <w:r>
        <w:rPr>
          <w:rFonts w:ascii="Times New Roman" w:hAnsi="Times New Roman" w:cs="Times New Roman"/>
          <w:sz w:val="24"/>
          <w:szCs w:val="24"/>
          <w:lang w:val="ro-RO"/>
        </w:rPr>
        <w:t>,</w:t>
      </w:r>
      <w:r w:rsidRPr="007C67B6">
        <w:rPr>
          <w:rFonts w:ascii="Times New Roman" w:hAnsi="Times New Roman" w:cs="Times New Roman"/>
          <w:sz w:val="24"/>
          <w:szCs w:val="24"/>
          <w:lang w:val="ro-RO"/>
        </w:rPr>
        <w:t xml:space="preserve"> Telenești</w:t>
      </w:r>
      <w:r>
        <w:rPr>
          <w:rFonts w:ascii="Times New Roman" w:hAnsi="Times New Roman" w:cs="Times New Roman"/>
          <w:sz w:val="24"/>
          <w:szCs w:val="24"/>
          <w:lang w:val="ro-RO"/>
        </w:rPr>
        <w:t xml:space="preserve"> și alte raioane ale țării</w:t>
      </w:r>
      <w:r w:rsidRPr="007C67B6">
        <w:rPr>
          <w:rFonts w:ascii="Times New Roman" w:hAnsi="Times New Roman" w:cs="Times New Roman"/>
          <w:sz w:val="24"/>
          <w:szCs w:val="24"/>
          <w:lang w:val="ro-RO"/>
        </w:rPr>
        <w:t xml:space="preserve">. </w:t>
      </w:r>
    </w:p>
    <w:p w:rsidR="0030758C" w:rsidRPr="007C67B6" w:rsidRDefault="006464FE" w:rsidP="0030758C">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Din fondurile FCT pot fi finanțate cheltuieli </w:t>
      </w:r>
      <w:r w:rsidR="0030758C" w:rsidRPr="007C67B6">
        <w:rPr>
          <w:rFonts w:ascii="Times New Roman" w:hAnsi="Times New Roman" w:cs="Times New Roman"/>
          <w:sz w:val="24"/>
          <w:szCs w:val="24"/>
          <w:lang w:val="ro-RO"/>
        </w:rPr>
        <w:t>legate de procur</w:t>
      </w:r>
      <w:r>
        <w:rPr>
          <w:rFonts w:ascii="Times New Roman" w:hAnsi="Times New Roman" w:cs="Times New Roman"/>
          <w:sz w:val="24"/>
          <w:szCs w:val="24"/>
          <w:lang w:val="ro-RO"/>
        </w:rPr>
        <w:t>area</w:t>
      </w:r>
      <w:r w:rsidR="0030758C" w:rsidRPr="007C67B6">
        <w:rPr>
          <w:rFonts w:ascii="Times New Roman" w:hAnsi="Times New Roman" w:cs="Times New Roman"/>
          <w:sz w:val="24"/>
          <w:szCs w:val="24"/>
          <w:lang w:val="ro-RO"/>
        </w:rPr>
        <w:t xml:space="preserve"> a tehnicii agricole, echipamente pentru sisteme de irigare de scară mica, îngrășăminte minerale, utilarea camerelor frigorifice, sere, material săditor, semințe,  conectare la rețele electrice și apeduct, utilaje de fabricare a mobilei </w:t>
      </w:r>
      <w:proofErr w:type="spellStart"/>
      <w:r w:rsidR="0030758C" w:rsidRPr="007C67B6">
        <w:rPr>
          <w:rFonts w:ascii="Times New Roman" w:hAnsi="Times New Roman" w:cs="Times New Roman"/>
          <w:sz w:val="24"/>
          <w:szCs w:val="24"/>
          <w:lang w:val="ro-RO"/>
        </w:rPr>
        <w:t>e.t.c</w:t>
      </w:r>
      <w:proofErr w:type="spellEnd"/>
      <w:r w:rsidR="0030758C" w:rsidRPr="007C67B6">
        <w:rPr>
          <w:rFonts w:ascii="Times New Roman" w:hAnsi="Times New Roman" w:cs="Times New Roman"/>
          <w:sz w:val="24"/>
          <w:szCs w:val="24"/>
          <w:lang w:val="ro-RO"/>
        </w:rPr>
        <w:t>.</w:t>
      </w:r>
    </w:p>
    <w:p w:rsidR="0030758C" w:rsidRPr="004F217D" w:rsidRDefault="0030758C" w:rsidP="0030758C">
      <w:pPr>
        <w:jc w:val="both"/>
        <w:rPr>
          <w:rFonts w:ascii="Times New Roman" w:hAnsi="Times New Roman" w:cs="Times New Roman"/>
          <w:sz w:val="24"/>
          <w:szCs w:val="24"/>
          <w:lang w:val="ro-MD"/>
        </w:rPr>
      </w:pPr>
      <w:r w:rsidRPr="004F217D">
        <w:rPr>
          <w:rFonts w:ascii="Times New Roman" w:hAnsi="Times New Roman" w:cs="Times New Roman"/>
          <w:sz w:val="24"/>
          <w:szCs w:val="24"/>
          <w:lang w:val="ro-MD"/>
        </w:rPr>
        <w:t xml:space="preserve">Programul a fost lansat </w:t>
      </w:r>
      <w:r w:rsidR="006464FE">
        <w:rPr>
          <w:rFonts w:ascii="Times New Roman" w:hAnsi="Times New Roman" w:cs="Times New Roman"/>
          <w:sz w:val="24"/>
          <w:szCs w:val="24"/>
          <w:lang w:val="ro-MD"/>
        </w:rPr>
        <w:t>in</w:t>
      </w:r>
      <w:r w:rsidRPr="004F217D">
        <w:rPr>
          <w:rFonts w:ascii="Times New Roman" w:hAnsi="Times New Roman" w:cs="Times New Roman"/>
          <w:sz w:val="24"/>
          <w:szCs w:val="24"/>
          <w:lang w:val="ro-MD"/>
        </w:rPr>
        <w:t xml:space="preserve"> scopul promovării și încurajării tinerilor antreprenori, creării a noi locuri de muncă, ținând cont de necesitatea acordării sprijinului suplimentar acestora prin reducerea dobânzilor la creditele noi contractate prin băncile comerciale. Astfel, pentru creditele acordate în cadrul Programului, rata dobânzii este redusă cu cel puțin 4 puncte procentuale în raport cu rata </w:t>
      </w:r>
      <w:r w:rsidR="0076015D">
        <w:rPr>
          <w:rFonts w:ascii="Times New Roman" w:hAnsi="Times New Roman" w:cs="Times New Roman"/>
          <w:sz w:val="24"/>
          <w:szCs w:val="24"/>
          <w:lang w:val="ro-MD"/>
        </w:rPr>
        <w:t xml:space="preserve">medie la creditele acordate in sistemul bancar. </w:t>
      </w:r>
      <w:r w:rsidRPr="004F217D">
        <w:rPr>
          <w:rFonts w:ascii="Times New Roman" w:hAnsi="Times New Roman" w:cs="Times New Roman"/>
          <w:sz w:val="24"/>
          <w:szCs w:val="24"/>
          <w:lang w:val="ro-MD"/>
        </w:rPr>
        <w:t xml:space="preserve"> </w:t>
      </w:r>
      <w:r w:rsidR="004F217D" w:rsidRPr="004F217D">
        <w:rPr>
          <w:rFonts w:ascii="Times New Roman" w:hAnsi="Times New Roman" w:cs="Times New Roman"/>
          <w:sz w:val="24"/>
          <w:szCs w:val="24"/>
          <w:lang w:val="ro-MD"/>
        </w:rPr>
        <w:t>Începând</w:t>
      </w:r>
      <w:r w:rsidRPr="004F217D">
        <w:rPr>
          <w:rFonts w:ascii="Times New Roman" w:hAnsi="Times New Roman" w:cs="Times New Roman"/>
          <w:sz w:val="24"/>
          <w:szCs w:val="24"/>
          <w:lang w:val="ro-MD"/>
        </w:rPr>
        <w:t xml:space="preserve"> cu </w:t>
      </w:r>
      <w:r w:rsidR="004F217D" w:rsidRPr="004F217D">
        <w:rPr>
          <w:rFonts w:ascii="Times New Roman" w:hAnsi="Times New Roman" w:cs="Times New Roman"/>
          <w:sz w:val="24"/>
          <w:szCs w:val="24"/>
          <w:lang w:val="ro-MD"/>
        </w:rPr>
        <w:t>decembrie</w:t>
      </w:r>
      <w:r w:rsidRPr="004F217D">
        <w:rPr>
          <w:rFonts w:ascii="Times New Roman" w:hAnsi="Times New Roman" w:cs="Times New Roman"/>
          <w:sz w:val="24"/>
          <w:szCs w:val="24"/>
          <w:lang w:val="ro-MD"/>
        </w:rPr>
        <w:t xml:space="preserve"> 2020 rata </w:t>
      </w:r>
      <w:r w:rsidR="004F217D" w:rsidRPr="004F217D">
        <w:rPr>
          <w:rFonts w:ascii="Times New Roman" w:hAnsi="Times New Roman" w:cs="Times New Roman"/>
          <w:sz w:val="24"/>
          <w:szCs w:val="24"/>
          <w:lang w:val="ro-MD"/>
        </w:rPr>
        <w:t>dobânzii</w:t>
      </w:r>
      <w:r w:rsidRPr="004F217D">
        <w:rPr>
          <w:rFonts w:ascii="Times New Roman" w:hAnsi="Times New Roman" w:cs="Times New Roman"/>
          <w:sz w:val="24"/>
          <w:szCs w:val="24"/>
          <w:lang w:val="ro-MD"/>
        </w:rPr>
        <w:t xml:space="preserve"> pentru IFP in cadrul Facilității de Creditare a Tinerilor </w:t>
      </w:r>
      <w:r w:rsidR="006464FE">
        <w:rPr>
          <w:rFonts w:ascii="Times New Roman" w:hAnsi="Times New Roman" w:cs="Times New Roman"/>
          <w:sz w:val="24"/>
          <w:szCs w:val="24"/>
          <w:lang w:val="ro-MD"/>
        </w:rPr>
        <w:t>este</w:t>
      </w:r>
      <w:r w:rsidRPr="004F217D">
        <w:rPr>
          <w:rFonts w:ascii="Times New Roman" w:hAnsi="Times New Roman" w:cs="Times New Roman"/>
          <w:sz w:val="24"/>
          <w:szCs w:val="24"/>
          <w:lang w:val="ro-MD"/>
        </w:rPr>
        <w:t xml:space="preserve"> fixă in valoare de 1,35%, iar pentru beneficiarii final</w:t>
      </w:r>
      <w:r w:rsidR="006464FE">
        <w:rPr>
          <w:rFonts w:ascii="Times New Roman" w:hAnsi="Times New Roman" w:cs="Times New Roman"/>
          <w:sz w:val="24"/>
          <w:szCs w:val="24"/>
          <w:lang w:val="ro-MD"/>
        </w:rPr>
        <w:t>i</w:t>
      </w:r>
      <w:r w:rsidRPr="004F217D">
        <w:rPr>
          <w:rFonts w:ascii="Times New Roman" w:hAnsi="Times New Roman" w:cs="Times New Roman"/>
          <w:sz w:val="24"/>
          <w:szCs w:val="24"/>
          <w:lang w:val="ro-MD"/>
        </w:rPr>
        <w:t xml:space="preserve"> se recomanda IFP de a stabili o rata fixă </w:t>
      </w:r>
      <w:r w:rsidR="006464FE">
        <w:rPr>
          <w:rFonts w:ascii="Times New Roman" w:hAnsi="Times New Roman" w:cs="Times New Roman"/>
          <w:sz w:val="24"/>
          <w:szCs w:val="24"/>
          <w:lang w:val="ro-MD"/>
        </w:rPr>
        <w:t>care nu va depăși</w:t>
      </w:r>
      <w:r w:rsidRPr="004F217D">
        <w:rPr>
          <w:rFonts w:ascii="Times New Roman" w:hAnsi="Times New Roman" w:cs="Times New Roman"/>
          <w:sz w:val="24"/>
          <w:szCs w:val="24"/>
          <w:lang w:val="ro-MD"/>
        </w:rPr>
        <w:t xml:space="preserve"> 4,35%</w:t>
      </w:r>
      <w:r w:rsidR="0076015D">
        <w:rPr>
          <w:rFonts w:ascii="Times New Roman" w:hAnsi="Times New Roman" w:cs="Times New Roman"/>
          <w:sz w:val="24"/>
          <w:szCs w:val="24"/>
          <w:lang w:val="ro-MD"/>
        </w:rPr>
        <w:t xml:space="preserve"> anual</w:t>
      </w:r>
      <w:r w:rsidRPr="004F217D">
        <w:rPr>
          <w:rFonts w:ascii="Times New Roman" w:hAnsi="Times New Roman" w:cs="Times New Roman"/>
          <w:sz w:val="24"/>
          <w:szCs w:val="24"/>
          <w:lang w:val="ro-MD"/>
        </w:rPr>
        <w:t xml:space="preserve">. </w:t>
      </w:r>
    </w:p>
    <w:p w:rsidR="0030758C" w:rsidRPr="004F217D" w:rsidRDefault="0030758C" w:rsidP="0030758C">
      <w:pPr>
        <w:jc w:val="both"/>
        <w:rPr>
          <w:rFonts w:ascii="Times New Roman" w:hAnsi="Times New Roman" w:cs="Times New Roman"/>
          <w:sz w:val="24"/>
          <w:szCs w:val="24"/>
          <w:lang w:val="ro-MD"/>
        </w:rPr>
      </w:pPr>
      <w:r w:rsidRPr="004F217D">
        <w:rPr>
          <w:rFonts w:ascii="Times New Roman" w:hAnsi="Times New Roman" w:cs="Times New Roman"/>
          <w:sz w:val="24"/>
          <w:szCs w:val="24"/>
          <w:lang w:val="ro-MD"/>
        </w:rPr>
        <w:t xml:space="preserve">Pentru susținerea tinerilor în cadrul Programului sunt disponibile resurse </w:t>
      </w:r>
      <w:r w:rsidR="004F217D">
        <w:rPr>
          <w:rFonts w:ascii="Times New Roman" w:hAnsi="Times New Roman" w:cs="Times New Roman"/>
          <w:sz w:val="24"/>
          <w:szCs w:val="24"/>
          <w:lang w:val="ro-MD"/>
        </w:rPr>
        <w:t xml:space="preserve">din </w:t>
      </w:r>
      <w:r w:rsidRPr="004F217D">
        <w:rPr>
          <w:rFonts w:ascii="Times New Roman" w:hAnsi="Times New Roman" w:cs="Times New Roman"/>
          <w:sz w:val="24"/>
          <w:szCs w:val="24"/>
          <w:lang w:val="ro-MD"/>
        </w:rPr>
        <w:t xml:space="preserve"> fonduri circulante </w:t>
      </w:r>
      <w:proofErr w:type="spellStart"/>
      <w:r w:rsidRPr="004F217D">
        <w:rPr>
          <w:rFonts w:ascii="Times New Roman" w:hAnsi="Times New Roman" w:cs="Times New Roman"/>
          <w:sz w:val="24"/>
          <w:szCs w:val="24"/>
          <w:lang w:val="ro-MD"/>
        </w:rPr>
        <w:t>revolving</w:t>
      </w:r>
      <w:proofErr w:type="spellEnd"/>
      <w:r w:rsidRPr="004F217D">
        <w:rPr>
          <w:rFonts w:ascii="Times New Roman" w:hAnsi="Times New Roman" w:cs="Times New Roman"/>
          <w:sz w:val="24"/>
          <w:szCs w:val="24"/>
          <w:lang w:val="ro-MD"/>
        </w:rPr>
        <w:t xml:space="preserve"> </w:t>
      </w:r>
      <w:r w:rsidR="0076015D">
        <w:rPr>
          <w:rFonts w:ascii="Times New Roman" w:hAnsi="Times New Roman" w:cs="Times New Roman"/>
          <w:sz w:val="24"/>
          <w:szCs w:val="24"/>
          <w:lang w:val="ro-MD"/>
        </w:rPr>
        <w:t xml:space="preserve">a liniilor de credit administrate de OGPAE </w:t>
      </w:r>
      <w:r w:rsidRPr="004F217D">
        <w:rPr>
          <w:rFonts w:ascii="Times New Roman" w:hAnsi="Times New Roman" w:cs="Times New Roman"/>
          <w:sz w:val="24"/>
          <w:szCs w:val="24"/>
          <w:lang w:val="ro-MD"/>
        </w:rPr>
        <w:t xml:space="preserve">provenite din împrumuturi externe de stat pentru dezvoltare. </w:t>
      </w:r>
    </w:p>
    <w:p w:rsidR="0030758C" w:rsidRPr="004F217D" w:rsidRDefault="0030758C" w:rsidP="0030758C">
      <w:pPr>
        <w:rPr>
          <w:rFonts w:ascii="Times New Roman" w:hAnsi="Times New Roman" w:cs="Times New Roman"/>
          <w:sz w:val="24"/>
          <w:szCs w:val="24"/>
          <w:lang w:val="ro-MD"/>
        </w:rPr>
      </w:pPr>
      <w:r w:rsidRPr="004F217D">
        <w:rPr>
          <w:rFonts w:ascii="Times New Roman" w:hAnsi="Times New Roman" w:cs="Times New Roman"/>
          <w:sz w:val="24"/>
          <w:szCs w:val="24"/>
          <w:lang w:val="ro-MD"/>
        </w:rPr>
        <w:t>Principalele condiții de eligibilitate pentru tineri și afacerile finanțate sunt:</w:t>
      </w:r>
      <w:r w:rsidRPr="004F217D">
        <w:rPr>
          <w:rFonts w:ascii="Times New Roman" w:hAnsi="Times New Roman" w:cs="Times New Roman"/>
          <w:sz w:val="24"/>
          <w:szCs w:val="24"/>
          <w:lang w:val="ro-MD"/>
        </w:rPr>
        <w:br/>
        <w:t>- vârsta beneficiarilor potențiali cuprinsă între 18 și 35 ani, la momentul depunerii cererii de credit la Instituțiile Financiare Participante intermediare;</w:t>
      </w:r>
      <w:r w:rsidRPr="004F217D">
        <w:rPr>
          <w:rFonts w:ascii="Times New Roman" w:hAnsi="Times New Roman" w:cs="Times New Roman"/>
          <w:sz w:val="24"/>
          <w:szCs w:val="24"/>
          <w:lang w:val="ro-MD"/>
        </w:rPr>
        <w:br/>
        <w:t xml:space="preserve">- suma maximală a unui sub-împrumut - până la 1.5 </w:t>
      </w:r>
      <w:proofErr w:type="spellStart"/>
      <w:r w:rsidRPr="004F217D">
        <w:rPr>
          <w:rFonts w:ascii="Times New Roman" w:hAnsi="Times New Roman" w:cs="Times New Roman"/>
          <w:sz w:val="24"/>
          <w:szCs w:val="24"/>
          <w:lang w:val="ro-MD"/>
        </w:rPr>
        <w:t>mln</w:t>
      </w:r>
      <w:proofErr w:type="spellEnd"/>
      <w:r w:rsidRPr="004F217D">
        <w:rPr>
          <w:rFonts w:ascii="Times New Roman" w:hAnsi="Times New Roman" w:cs="Times New Roman"/>
          <w:sz w:val="24"/>
          <w:szCs w:val="24"/>
          <w:lang w:val="ro-MD"/>
        </w:rPr>
        <w:t>. lei;</w:t>
      </w:r>
      <w:r w:rsidRPr="004F217D">
        <w:rPr>
          <w:rFonts w:ascii="Times New Roman" w:hAnsi="Times New Roman" w:cs="Times New Roman"/>
          <w:sz w:val="24"/>
          <w:szCs w:val="24"/>
          <w:lang w:val="ro-MD"/>
        </w:rPr>
        <w:br/>
        <w:t>- activitățile eligibile și scopul cheltuielilor finanțate - mărfuri și servicii, inclusiv capital circulant necesar</w:t>
      </w:r>
      <w:r w:rsidR="006464FE">
        <w:rPr>
          <w:rFonts w:ascii="Times New Roman" w:hAnsi="Times New Roman" w:cs="Times New Roman"/>
          <w:sz w:val="24"/>
          <w:szCs w:val="24"/>
          <w:lang w:val="ro-MD"/>
        </w:rPr>
        <w:t xml:space="preserve"> pentru menținerea activității finanțate</w:t>
      </w:r>
      <w:r w:rsidRPr="004F217D">
        <w:rPr>
          <w:rFonts w:ascii="Times New Roman" w:hAnsi="Times New Roman" w:cs="Times New Roman"/>
          <w:sz w:val="24"/>
          <w:szCs w:val="24"/>
          <w:lang w:val="ro-MD"/>
        </w:rPr>
        <w:t>;</w:t>
      </w:r>
      <w:r w:rsidRPr="004F217D">
        <w:rPr>
          <w:rFonts w:ascii="Times New Roman" w:hAnsi="Times New Roman" w:cs="Times New Roman"/>
          <w:sz w:val="24"/>
          <w:szCs w:val="24"/>
          <w:lang w:val="ro-MD"/>
        </w:rPr>
        <w:br/>
        <w:t>- tinerii vor deține cel puțin 75 la sută din proprietatea întreprinderii/afacerii;</w:t>
      </w:r>
      <w:r w:rsidRPr="004F217D">
        <w:rPr>
          <w:rFonts w:ascii="Times New Roman" w:hAnsi="Times New Roman" w:cs="Times New Roman"/>
          <w:sz w:val="24"/>
          <w:szCs w:val="24"/>
          <w:lang w:val="ro-MD"/>
        </w:rPr>
        <w:br/>
        <w:t>- beneficiari pot fi persoane fizice și juridice înregistrate pe teritoriul Republicii Moldova.</w:t>
      </w:r>
    </w:p>
    <w:p w:rsidR="0030758C" w:rsidRPr="004F217D" w:rsidRDefault="0076015D" w:rsidP="0030758C">
      <w:pPr>
        <w:jc w:val="both"/>
        <w:rPr>
          <w:rFonts w:ascii="Times New Roman" w:hAnsi="Times New Roman" w:cs="Times New Roman"/>
          <w:sz w:val="24"/>
          <w:szCs w:val="24"/>
          <w:lang w:val="ro-MD"/>
        </w:rPr>
      </w:pPr>
      <w:r>
        <w:rPr>
          <w:rFonts w:ascii="Times New Roman" w:hAnsi="Times New Roman" w:cs="Times New Roman"/>
          <w:sz w:val="24"/>
          <w:szCs w:val="24"/>
          <w:lang w:val="ro-MD"/>
        </w:rPr>
        <w:t>P</w:t>
      </w:r>
      <w:r w:rsidR="0030758C" w:rsidRPr="004F217D">
        <w:rPr>
          <w:rFonts w:ascii="Times New Roman" w:hAnsi="Times New Roman" w:cs="Times New Roman"/>
          <w:sz w:val="24"/>
          <w:szCs w:val="24"/>
          <w:lang w:val="ro-MD"/>
        </w:rPr>
        <w:t xml:space="preserve">entru contractarea creditelor avantajoase ale Programului, tinerii trebuie să se adreseze următoarelor Instituțiile Financiare Participante cu care Ministerul Finanțelor </w:t>
      </w:r>
      <w:r w:rsidR="006464FE">
        <w:rPr>
          <w:rFonts w:ascii="Times New Roman" w:hAnsi="Times New Roman" w:cs="Times New Roman"/>
          <w:sz w:val="24"/>
          <w:szCs w:val="24"/>
          <w:lang w:val="ro-MD"/>
        </w:rPr>
        <w:t xml:space="preserve">/OGPAE </w:t>
      </w:r>
      <w:r w:rsidR="0030758C" w:rsidRPr="004F217D">
        <w:rPr>
          <w:rFonts w:ascii="Times New Roman" w:hAnsi="Times New Roman" w:cs="Times New Roman"/>
          <w:sz w:val="24"/>
          <w:szCs w:val="24"/>
          <w:lang w:val="ro-MD"/>
        </w:rPr>
        <w:t xml:space="preserve">a semnat contracte de intermediere financiară:   </w:t>
      </w:r>
    </w:p>
    <w:p w:rsidR="0030758C" w:rsidRPr="004F217D" w:rsidRDefault="0030758C" w:rsidP="0030758C">
      <w:pPr>
        <w:pStyle w:val="ListParagraph"/>
        <w:numPr>
          <w:ilvl w:val="0"/>
          <w:numId w:val="1"/>
        </w:numPr>
        <w:spacing w:line="276" w:lineRule="auto"/>
        <w:jc w:val="both"/>
        <w:rPr>
          <w:rFonts w:ascii="Times New Roman" w:hAnsi="Times New Roman" w:cs="Times New Roman"/>
          <w:color w:val="auto"/>
          <w:lang w:val="ro-MD"/>
        </w:rPr>
      </w:pPr>
      <w:r w:rsidRPr="004F217D">
        <w:rPr>
          <w:rFonts w:ascii="Times New Roman" w:hAnsi="Times New Roman" w:cs="Times New Roman"/>
          <w:color w:val="auto"/>
          <w:lang w:val="ro-MD"/>
        </w:rPr>
        <w:t>BC “Moldova-</w:t>
      </w:r>
      <w:proofErr w:type="spellStart"/>
      <w:r w:rsidRPr="004F217D">
        <w:rPr>
          <w:rFonts w:ascii="Times New Roman" w:hAnsi="Times New Roman" w:cs="Times New Roman"/>
          <w:color w:val="auto"/>
          <w:lang w:val="ro-MD"/>
        </w:rPr>
        <w:t>Agroindbank</w:t>
      </w:r>
      <w:proofErr w:type="spellEnd"/>
      <w:r w:rsidRPr="004F217D">
        <w:rPr>
          <w:rFonts w:ascii="Times New Roman" w:hAnsi="Times New Roman" w:cs="Times New Roman"/>
          <w:color w:val="auto"/>
          <w:lang w:val="ro-MD"/>
        </w:rPr>
        <w:t xml:space="preserve">” S.A.- tel. (022) 303277, 303234, 303222; </w:t>
      </w:r>
    </w:p>
    <w:p w:rsidR="0030758C" w:rsidRPr="004F217D" w:rsidRDefault="0030758C" w:rsidP="0030758C">
      <w:pPr>
        <w:pStyle w:val="ListParagraph"/>
        <w:numPr>
          <w:ilvl w:val="0"/>
          <w:numId w:val="1"/>
        </w:numPr>
        <w:spacing w:line="276" w:lineRule="auto"/>
        <w:jc w:val="both"/>
        <w:rPr>
          <w:rFonts w:ascii="Times New Roman" w:hAnsi="Times New Roman" w:cs="Times New Roman"/>
          <w:color w:val="auto"/>
          <w:lang w:val="ro-MD"/>
        </w:rPr>
      </w:pPr>
      <w:r w:rsidRPr="004F217D">
        <w:rPr>
          <w:rFonts w:ascii="Times New Roman" w:hAnsi="Times New Roman" w:cs="Times New Roman"/>
          <w:color w:val="auto"/>
          <w:lang w:val="ro-MD"/>
        </w:rPr>
        <w:t>BC „</w:t>
      </w:r>
      <w:proofErr w:type="spellStart"/>
      <w:r w:rsidRPr="004F217D">
        <w:rPr>
          <w:rFonts w:ascii="Times New Roman" w:hAnsi="Times New Roman" w:cs="Times New Roman"/>
          <w:color w:val="auto"/>
          <w:lang w:val="ro-MD"/>
        </w:rPr>
        <w:t>Mobiasbancă</w:t>
      </w:r>
      <w:proofErr w:type="spellEnd"/>
      <w:r w:rsidRPr="004F217D">
        <w:rPr>
          <w:rFonts w:ascii="Times New Roman" w:hAnsi="Times New Roman" w:cs="Times New Roman"/>
          <w:color w:val="auto"/>
          <w:lang w:val="ro-MD"/>
        </w:rPr>
        <w:t xml:space="preserve"> -</w:t>
      </w:r>
      <w:proofErr w:type="spellStart"/>
      <w:r w:rsidRPr="004F217D">
        <w:rPr>
          <w:rFonts w:ascii="Times New Roman" w:hAnsi="Times New Roman" w:cs="Times New Roman"/>
          <w:color w:val="auto"/>
          <w:lang w:val="ro-MD"/>
        </w:rPr>
        <w:t>Groupe</w:t>
      </w:r>
      <w:proofErr w:type="spellEnd"/>
      <w:r w:rsidRPr="004F217D">
        <w:rPr>
          <w:rFonts w:ascii="Times New Roman" w:hAnsi="Times New Roman" w:cs="Times New Roman"/>
          <w:color w:val="auto"/>
          <w:lang w:val="ro-MD"/>
        </w:rPr>
        <w:t xml:space="preserve"> </w:t>
      </w:r>
      <w:proofErr w:type="spellStart"/>
      <w:r w:rsidRPr="004F217D">
        <w:rPr>
          <w:rFonts w:ascii="Times New Roman" w:hAnsi="Times New Roman" w:cs="Times New Roman"/>
          <w:color w:val="auto"/>
          <w:lang w:val="ro-MD"/>
        </w:rPr>
        <w:t>Societe</w:t>
      </w:r>
      <w:proofErr w:type="spellEnd"/>
      <w:r w:rsidRPr="004F217D">
        <w:rPr>
          <w:rFonts w:ascii="Times New Roman" w:hAnsi="Times New Roman" w:cs="Times New Roman"/>
          <w:color w:val="auto"/>
          <w:lang w:val="ro-MD"/>
        </w:rPr>
        <w:t xml:space="preserve"> Generale” S.A. (022)- tel. 812548, 812425;</w:t>
      </w:r>
    </w:p>
    <w:p w:rsidR="0030758C" w:rsidRPr="004F217D" w:rsidRDefault="0030758C" w:rsidP="0030758C">
      <w:pPr>
        <w:pStyle w:val="ListParagraph"/>
        <w:numPr>
          <w:ilvl w:val="0"/>
          <w:numId w:val="1"/>
        </w:numPr>
        <w:spacing w:line="276" w:lineRule="auto"/>
        <w:jc w:val="both"/>
        <w:rPr>
          <w:rFonts w:ascii="Times New Roman" w:hAnsi="Times New Roman" w:cs="Times New Roman"/>
          <w:color w:val="auto"/>
          <w:lang w:val="ro-MD"/>
        </w:rPr>
      </w:pPr>
      <w:r w:rsidRPr="004F217D">
        <w:rPr>
          <w:rFonts w:ascii="Times New Roman" w:hAnsi="Times New Roman" w:cs="Times New Roman"/>
          <w:color w:val="auto"/>
          <w:lang w:val="ro-MD"/>
        </w:rPr>
        <w:t>BC „</w:t>
      </w:r>
      <w:proofErr w:type="spellStart"/>
      <w:r w:rsidRPr="004F217D">
        <w:rPr>
          <w:rFonts w:ascii="Times New Roman" w:hAnsi="Times New Roman" w:cs="Times New Roman"/>
          <w:color w:val="auto"/>
          <w:lang w:val="ro-MD"/>
        </w:rPr>
        <w:t>Moldindconbank</w:t>
      </w:r>
      <w:proofErr w:type="spellEnd"/>
      <w:r w:rsidRPr="004F217D">
        <w:rPr>
          <w:rFonts w:ascii="Times New Roman" w:hAnsi="Times New Roman" w:cs="Times New Roman"/>
          <w:color w:val="auto"/>
          <w:lang w:val="ro-MD"/>
        </w:rPr>
        <w:t xml:space="preserve">” S.A.- tel. (022) 576798, 576839; </w:t>
      </w:r>
    </w:p>
    <w:p w:rsidR="0030758C" w:rsidRPr="004F217D" w:rsidRDefault="0030758C" w:rsidP="0030758C">
      <w:pPr>
        <w:pStyle w:val="ListParagraph"/>
        <w:numPr>
          <w:ilvl w:val="0"/>
          <w:numId w:val="1"/>
        </w:numPr>
        <w:spacing w:line="276" w:lineRule="auto"/>
        <w:jc w:val="both"/>
        <w:rPr>
          <w:rFonts w:ascii="Times New Roman" w:hAnsi="Times New Roman" w:cs="Times New Roman"/>
          <w:color w:val="auto"/>
          <w:lang w:val="ro-MD"/>
        </w:rPr>
      </w:pPr>
      <w:r w:rsidRPr="004F217D">
        <w:rPr>
          <w:rFonts w:ascii="Times New Roman" w:hAnsi="Times New Roman" w:cs="Times New Roman"/>
          <w:color w:val="auto"/>
          <w:lang w:val="ro-MD"/>
        </w:rPr>
        <w:t>BC „</w:t>
      </w:r>
      <w:proofErr w:type="spellStart"/>
      <w:r w:rsidRPr="004F217D">
        <w:rPr>
          <w:rFonts w:ascii="Times New Roman" w:hAnsi="Times New Roman" w:cs="Times New Roman"/>
          <w:color w:val="auto"/>
          <w:lang w:val="ro-MD"/>
        </w:rPr>
        <w:t>Fincombank</w:t>
      </w:r>
      <w:proofErr w:type="spellEnd"/>
      <w:r w:rsidRPr="004F217D">
        <w:rPr>
          <w:rFonts w:ascii="Times New Roman" w:hAnsi="Times New Roman" w:cs="Times New Roman"/>
          <w:color w:val="auto"/>
          <w:lang w:val="ro-MD"/>
        </w:rPr>
        <w:t xml:space="preserve">” S.A.-tel. (022) 269816; </w:t>
      </w:r>
    </w:p>
    <w:p w:rsidR="0030758C" w:rsidRPr="004F217D" w:rsidRDefault="0030758C" w:rsidP="0030758C">
      <w:pPr>
        <w:pStyle w:val="ListParagraph"/>
        <w:numPr>
          <w:ilvl w:val="0"/>
          <w:numId w:val="1"/>
        </w:numPr>
        <w:spacing w:line="276" w:lineRule="auto"/>
        <w:jc w:val="both"/>
        <w:rPr>
          <w:rFonts w:ascii="Times New Roman" w:hAnsi="Times New Roman" w:cs="Times New Roman"/>
          <w:color w:val="auto"/>
          <w:lang w:val="ro-MD"/>
        </w:rPr>
      </w:pPr>
      <w:r w:rsidRPr="004F217D">
        <w:rPr>
          <w:rFonts w:ascii="Times New Roman" w:hAnsi="Times New Roman" w:cs="Times New Roman"/>
          <w:color w:val="auto"/>
          <w:lang w:val="ro-MD"/>
        </w:rPr>
        <w:lastRenderedPageBreak/>
        <w:t>BC „</w:t>
      </w:r>
      <w:proofErr w:type="spellStart"/>
      <w:r w:rsidRPr="004F217D">
        <w:rPr>
          <w:rFonts w:ascii="Times New Roman" w:hAnsi="Times New Roman" w:cs="Times New Roman"/>
          <w:color w:val="auto"/>
          <w:lang w:val="ro-MD"/>
        </w:rPr>
        <w:t>Energbank</w:t>
      </w:r>
      <w:proofErr w:type="spellEnd"/>
      <w:r w:rsidRPr="004F217D">
        <w:rPr>
          <w:rFonts w:ascii="Times New Roman" w:hAnsi="Times New Roman" w:cs="Times New Roman"/>
          <w:color w:val="auto"/>
          <w:lang w:val="ro-MD"/>
        </w:rPr>
        <w:t>” S.A.-tel. (022) 858056;</w:t>
      </w:r>
    </w:p>
    <w:p w:rsidR="0030758C" w:rsidRPr="004F217D" w:rsidRDefault="0030758C" w:rsidP="0030758C">
      <w:pPr>
        <w:pStyle w:val="ListParagraph"/>
        <w:numPr>
          <w:ilvl w:val="0"/>
          <w:numId w:val="1"/>
        </w:numPr>
        <w:spacing w:line="276" w:lineRule="auto"/>
        <w:jc w:val="both"/>
        <w:rPr>
          <w:rFonts w:ascii="Times New Roman" w:hAnsi="Times New Roman" w:cs="Times New Roman"/>
          <w:color w:val="auto"/>
          <w:lang w:val="ro-MD"/>
        </w:rPr>
      </w:pPr>
      <w:r w:rsidRPr="004F217D">
        <w:rPr>
          <w:rFonts w:ascii="Times New Roman" w:hAnsi="Times New Roman" w:cs="Times New Roman"/>
          <w:color w:val="auto"/>
          <w:lang w:val="ro-MD"/>
        </w:rPr>
        <w:t>BC „</w:t>
      </w:r>
      <w:proofErr w:type="spellStart"/>
      <w:r w:rsidRPr="004F217D">
        <w:rPr>
          <w:rFonts w:ascii="Times New Roman" w:hAnsi="Times New Roman" w:cs="Times New Roman"/>
          <w:color w:val="auto"/>
          <w:lang w:val="ro-MD"/>
        </w:rPr>
        <w:t>Comertbank</w:t>
      </w:r>
      <w:proofErr w:type="spellEnd"/>
      <w:r w:rsidRPr="004F217D">
        <w:rPr>
          <w:rFonts w:ascii="Times New Roman" w:hAnsi="Times New Roman" w:cs="Times New Roman"/>
          <w:color w:val="auto"/>
          <w:lang w:val="ro-MD"/>
        </w:rPr>
        <w:t xml:space="preserve">” S.A.-tel. (022) 839734, 839737; </w:t>
      </w:r>
    </w:p>
    <w:p w:rsidR="0030758C" w:rsidRPr="004F217D" w:rsidRDefault="0030758C" w:rsidP="0030758C">
      <w:pPr>
        <w:pStyle w:val="ListParagraph"/>
        <w:numPr>
          <w:ilvl w:val="0"/>
          <w:numId w:val="1"/>
        </w:numPr>
        <w:spacing w:line="276" w:lineRule="auto"/>
        <w:jc w:val="both"/>
        <w:rPr>
          <w:rFonts w:ascii="Times New Roman" w:hAnsi="Times New Roman" w:cs="Times New Roman"/>
          <w:color w:val="auto"/>
          <w:lang w:val="ro-MD"/>
        </w:rPr>
      </w:pPr>
      <w:r w:rsidRPr="004F217D">
        <w:rPr>
          <w:rFonts w:ascii="Times New Roman" w:hAnsi="Times New Roman" w:cs="Times New Roman"/>
          <w:color w:val="auto"/>
          <w:lang w:val="ro-MD"/>
        </w:rPr>
        <w:t>ÎM OM „</w:t>
      </w:r>
      <w:proofErr w:type="spellStart"/>
      <w:r w:rsidRPr="004F217D">
        <w:rPr>
          <w:rFonts w:ascii="Times New Roman" w:hAnsi="Times New Roman" w:cs="Times New Roman"/>
          <w:color w:val="auto"/>
          <w:lang w:val="ro-MD"/>
        </w:rPr>
        <w:t>Moldcredit</w:t>
      </w:r>
      <w:proofErr w:type="spellEnd"/>
      <w:r w:rsidRPr="004F217D">
        <w:rPr>
          <w:rFonts w:ascii="Times New Roman" w:hAnsi="Times New Roman" w:cs="Times New Roman"/>
          <w:color w:val="auto"/>
          <w:lang w:val="ro-MD"/>
        </w:rPr>
        <w:t>” SRL. tel. (022) 549236;</w:t>
      </w:r>
    </w:p>
    <w:p w:rsidR="0030758C" w:rsidRPr="004F217D" w:rsidRDefault="0030758C" w:rsidP="0030758C">
      <w:pPr>
        <w:pStyle w:val="ListParagraph"/>
        <w:numPr>
          <w:ilvl w:val="0"/>
          <w:numId w:val="1"/>
        </w:numPr>
        <w:spacing w:line="276" w:lineRule="auto"/>
        <w:jc w:val="both"/>
        <w:rPr>
          <w:rFonts w:ascii="Times New Roman" w:hAnsi="Times New Roman" w:cs="Times New Roman"/>
          <w:color w:val="auto"/>
          <w:lang w:val="ro-MD"/>
        </w:rPr>
      </w:pPr>
      <w:r w:rsidRPr="004F217D">
        <w:rPr>
          <w:rFonts w:ascii="Times New Roman" w:hAnsi="Times New Roman" w:cs="Times New Roman"/>
          <w:color w:val="auto"/>
          <w:lang w:val="ro-MD"/>
        </w:rPr>
        <w:t>BC „</w:t>
      </w:r>
      <w:proofErr w:type="spellStart"/>
      <w:r w:rsidRPr="004F217D">
        <w:rPr>
          <w:rFonts w:ascii="Times New Roman" w:hAnsi="Times New Roman" w:cs="Times New Roman"/>
          <w:color w:val="auto"/>
          <w:lang w:val="ro-MD"/>
        </w:rPr>
        <w:t>ProCredit</w:t>
      </w:r>
      <w:proofErr w:type="spellEnd"/>
      <w:r w:rsidRPr="004F217D">
        <w:rPr>
          <w:rFonts w:ascii="Times New Roman" w:hAnsi="Times New Roman" w:cs="Times New Roman"/>
          <w:color w:val="auto"/>
          <w:lang w:val="ro-MD"/>
        </w:rPr>
        <w:t xml:space="preserve"> Bank” S.A. tel. (022) 782498;</w:t>
      </w:r>
    </w:p>
    <w:p w:rsidR="0030758C" w:rsidRPr="004F217D" w:rsidRDefault="0030758C" w:rsidP="0030758C">
      <w:pPr>
        <w:pStyle w:val="ListParagraph"/>
        <w:numPr>
          <w:ilvl w:val="0"/>
          <w:numId w:val="1"/>
        </w:numPr>
        <w:spacing w:line="276" w:lineRule="auto"/>
        <w:jc w:val="both"/>
        <w:rPr>
          <w:rFonts w:ascii="Times New Roman" w:hAnsi="Times New Roman" w:cs="Times New Roman"/>
          <w:color w:val="auto"/>
          <w:lang w:val="ro-MD"/>
        </w:rPr>
      </w:pPr>
      <w:r w:rsidRPr="004F217D">
        <w:rPr>
          <w:rFonts w:ascii="Times New Roman" w:hAnsi="Times New Roman" w:cs="Times New Roman"/>
          <w:color w:val="auto"/>
          <w:lang w:val="ro-MD"/>
        </w:rPr>
        <w:t>BC „</w:t>
      </w:r>
      <w:proofErr w:type="spellStart"/>
      <w:r w:rsidRPr="004F217D">
        <w:rPr>
          <w:rFonts w:ascii="Times New Roman" w:hAnsi="Times New Roman" w:cs="Times New Roman"/>
          <w:color w:val="auto"/>
          <w:lang w:val="ro-MD"/>
        </w:rPr>
        <w:t>EuroCreditBank”S.A</w:t>
      </w:r>
      <w:proofErr w:type="spellEnd"/>
      <w:r w:rsidRPr="004F217D">
        <w:rPr>
          <w:rFonts w:ascii="Times New Roman" w:hAnsi="Times New Roman" w:cs="Times New Roman"/>
          <w:color w:val="auto"/>
          <w:lang w:val="ro-MD"/>
        </w:rPr>
        <w:t>. tel. (022) 500255;</w:t>
      </w:r>
    </w:p>
    <w:p w:rsidR="0030758C" w:rsidRPr="004F217D" w:rsidRDefault="006464FE" w:rsidP="0030758C">
      <w:pPr>
        <w:pStyle w:val="ListParagraph"/>
        <w:numPr>
          <w:ilvl w:val="0"/>
          <w:numId w:val="1"/>
        </w:numPr>
        <w:rPr>
          <w:rFonts w:ascii="Times New Roman" w:hAnsi="Times New Roman" w:cs="Times New Roman"/>
          <w:lang w:val="ro-MD"/>
        </w:rPr>
      </w:pPr>
      <w:r>
        <w:rPr>
          <w:rFonts w:ascii="Times New Roman" w:hAnsi="Times New Roman" w:cs="Times New Roman"/>
          <w:lang w:val="ro-MD"/>
        </w:rPr>
        <w:t>OCN „</w:t>
      </w:r>
      <w:proofErr w:type="spellStart"/>
      <w:r w:rsidR="0030758C" w:rsidRPr="004F217D">
        <w:rPr>
          <w:rFonts w:ascii="Times New Roman" w:hAnsi="Times New Roman" w:cs="Times New Roman"/>
          <w:lang w:val="ro-MD"/>
        </w:rPr>
        <w:t>Microinvest</w:t>
      </w:r>
      <w:proofErr w:type="spellEnd"/>
      <w:r>
        <w:rPr>
          <w:rFonts w:ascii="Times New Roman" w:hAnsi="Times New Roman" w:cs="Times New Roman"/>
          <w:lang w:val="ro-MD"/>
        </w:rPr>
        <w:t>” SRL</w:t>
      </w:r>
      <w:r w:rsidR="0030758C" w:rsidRPr="004F217D">
        <w:rPr>
          <w:rFonts w:ascii="Times New Roman" w:hAnsi="Times New Roman" w:cs="Times New Roman"/>
          <w:lang w:val="ro-MD"/>
        </w:rPr>
        <w:t xml:space="preserve"> tel. (022)801701, 068669979;250025;</w:t>
      </w:r>
    </w:p>
    <w:p w:rsidR="0030758C" w:rsidRPr="004F217D" w:rsidRDefault="0030758C" w:rsidP="0030758C">
      <w:pPr>
        <w:pStyle w:val="ListParagraph"/>
        <w:numPr>
          <w:ilvl w:val="0"/>
          <w:numId w:val="1"/>
        </w:numPr>
        <w:rPr>
          <w:rFonts w:ascii="Times New Roman" w:hAnsi="Times New Roman" w:cs="Times New Roman"/>
          <w:lang w:val="ro-MD"/>
        </w:rPr>
      </w:pPr>
      <w:r w:rsidRPr="004F217D">
        <w:rPr>
          <w:rFonts w:ascii="Times New Roman" w:hAnsi="Times New Roman" w:cs="Times New Roman"/>
          <w:lang w:val="ro-MD"/>
        </w:rPr>
        <w:t>BC „</w:t>
      </w:r>
      <w:proofErr w:type="spellStart"/>
      <w:r w:rsidRPr="004F217D">
        <w:rPr>
          <w:rFonts w:ascii="Times New Roman" w:hAnsi="Times New Roman" w:cs="Times New Roman"/>
          <w:lang w:val="ro-MD"/>
        </w:rPr>
        <w:t>Victoriabank</w:t>
      </w:r>
      <w:proofErr w:type="spellEnd"/>
      <w:r w:rsidRPr="004F217D">
        <w:rPr>
          <w:rFonts w:ascii="Times New Roman" w:hAnsi="Times New Roman" w:cs="Times New Roman"/>
          <w:lang w:val="ro-MD"/>
        </w:rPr>
        <w:t>” SA (022)  576419;576175.</w:t>
      </w:r>
    </w:p>
    <w:p w:rsidR="006464FE" w:rsidRDefault="006464FE" w:rsidP="0030758C">
      <w:pPr>
        <w:rPr>
          <w:rFonts w:ascii="Times New Roman" w:hAnsi="Times New Roman" w:cs="Times New Roman"/>
          <w:b/>
          <w:sz w:val="24"/>
          <w:szCs w:val="24"/>
          <w:lang w:val="ro-MD"/>
        </w:rPr>
      </w:pPr>
    </w:p>
    <w:p w:rsidR="006605AC" w:rsidRDefault="0030758C" w:rsidP="0030758C">
      <w:pPr>
        <w:rPr>
          <w:rFonts w:ascii="Times New Roman" w:hAnsi="Times New Roman" w:cs="Times New Roman"/>
          <w:b/>
          <w:sz w:val="24"/>
          <w:szCs w:val="24"/>
          <w:lang w:val="ro-MD"/>
        </w:rPr>
      </w:pPr>
      <w:r w:rsidRPr="004F217D">
        <w:rPr>
          <w:rFonts w:ascii="Times New Roman" w:hAnsi="Times New Roman" w:cs="Times New Roman"/>
          <w:b/>
          <w:sz w:val="24"/>
          <w:szCs w:val="24"/>
          <w:lang w:val="ro-MD"/>
        </w:rPr>
        <w:t xml:space="preserve">Oficiul de Gestionare a Programelor de Asistenta Externa. </w:t>
      </w:r>
    </w:p>
    <w:p w:rsidR="006605AC" w:rsidRPr="006605AC" w:rsidRDefault="006605AC" w:rsidP="006605AC">
      <w:pPr>
        <w:spacing w:after="0" w:line="240" w:lineRule="auto"/>
        <w:rPr>
          <w:rFonts w:ascii="Times New Roman" w:eastAsia="Times New Roman" w:hAnsi="Times New Roman" w:cs="Times New Roman"/>
          <w:sz w:val="24"/>
          <w:szCs w:val="24"/>
          <w:lang w:val="ro-RO" w:eastAsia="ru-RU"/>
        </w:rPr>
      </w:pPr>
      <w:r w:rsidRPr="006605AC">
        <w:rPr>
          <w:rFonts w:ascii="Times New Roman" w:eastAsia="Times New Roman" w:hAnsi="Times New Roman" w:cs="Times New Roman"/>
          <w:sz w:val="24"/>
          <w:szCs w:val="24"/>
          <w:lang w:val="ro-RO" w:eastAsia="ru-RU"/>
        </w:rPr>
        <w:t xml:space="preserve">Tel. +373 22 238246. Fax: +373 22 238248. </w:t>
      </w:r>
    </w:p>
    <w:p w:rsidR="006605AC" w:rsidRPr="006605AC" w:rsidRDefault="006605AC" w:rsidP="006605AC">
      <w:pPr>
        <w:spacing w:after="0" w:line="240" w:lineRule="auto"/>
        <w:rPr>
          <w:rFonts w:ascii="Calibri" w:eastAsia="Calibri" w:hAnsi="Calibri" w:cs="Times New Roman"/>
          <w:color w:val="0000FF"/>
          <w:u w:val="single"/>
          <w:lang w:val="en-US"/>
        </w:rPr>
      </w:pPr>
      <w:r w:rsidRPr="006605AC">
        <w:rPr>
          <w:rFonts w:ascii="Times New Roman" w:eastAsia="Times New Roman" w:hAnsi="Times New Roman" w:cs="Times New Roman"/>
          <w:sz w:val="24"/>
          <w:szCs w:val="24"/>
          <w:lang w:val="ro-RO" w:eastAsia="ru-RU"/>
        </w:rPr>
        <w:t xml:space="preserve">Email: </w:t>
      </w:r>
      <w:r w:rsidRPr="006605AC">
        <w:rPr>
          <w:rFonts w:ascii="Calibri" w:eastAsia="Calibri" w:hAnsi="Calibri" w:cs="Times New Roman"/>
          <w:color w:val="0000FF"/>
          <w:u w:val="single"/>
          <w:lang w:val="en-US"/>
        </w:rPr>
        <w:t xml:space="preserve">ogpae@ogpae.gov.md </w:t>
      </w:r>
    </w:p>
    <w:p w:rsidR="007E4135" w:rsidRDefault="007E4135" w:rsidP="0030758C">
      <w:pPr>
        <w:rPr>
          <w:rFonts w:ascii="Times New Roman" w:hAnsi="Times New Roman" w:cs="Times New Roman"/>
          <w:sz w:val="24"/>
          <w:szCs w:val="24"/>
          <w:lang w:val="ro-MD"/>
        </w:rPr>
      </w:pPr>
      <w:bookmarkStart w:id="0" w:name="_GoBack"/>
      <w:bookmarkEnd w:id="0"/>
    </w:p>
    <w:p w:rsidR="0030758C" w:rsidRPr="004F217D" w:rsidRDefault="0030758C" w:rsidP="0030758C">
      <w:pPr>
        <w:rPr>
          <w:rFonts w:ascii="Times New Roman" w:hAnsi="Times New Roman" w:cs="Times New Roman"/>
          <w:lang w:val="ro-MD"/>
        </w:rPr>
      </w:pPr>
      <w:r w:rsidRPr="004F217D">
        <w:rPr>
          <w:rFonts w:ascii="Times New Roman" w:hAnsi="Times New Roman" w:cs="Times New Roman"/>
          <w:sz w:val="24"/>
          <w:szCs w:val="24"/>
          <w:lang w:val="ro-MD"/>
        </w:rPr>
        <w:t xml:space="preserve">Ultima actualizate: </w:t>
      </w:r>
      <w:r w:rsidR="006464FE">
        <w:rPr>
          <w:rFonts w:ascii="Times New Roman" w:hAnsi="Times New Roman" w:cs="Times New Roman"/>
          <w:sz w:val="24"/>
          <w:szCs w:val="24"/>
          <w:lang w:val="ro-MD"/>
        </w:rPr>
        <w:t>30</w:t>
      </w:r>
      <w:r w:rsidRPr="004F217D">
        <w:rPr>
          <w:rFonts w:ascii="Times New Roman" w:hAnsi="Times New Roman" w:cs="Times New Roman"/>
          <w:sz w:val="24"/>
          <w:szCs w:val="24"/>
          <w:lang w:val="ro-MD"/>
        </w:rPr>
        <w:t>.0</w:t>
      </w:r>
      <w:r w:rsidR="006464FE">
        <w:rPr>
          <w:rFonts w:ascii="Times New Roman" w:hAnsi="Times New Roman" w:cs="Times New Roman"/>
          <w:sz w:val="24"/>
          <w:szCs w:val="24"/>
          <w:lang w:val="ro-MD"/>
        </w:rPr>
        <w:t>6</w:t>
      </w:r>
      <w:r w:rsidRPr="004F217D">
        <w:rPr>
          <w:rFonts w:ascii="Times New Roman" w:hAnsi="Times New Roman" w:cs="Times New Roman"/>
          <w:sz w:val="24"/>
          <w:szCs w:val="24"/>
          <w:lang w:val="ro-MD"/>
        </w:rPr>
        <w:t>.2021</w:t>
      </w:r>
    </w:p>
    <w:p w:rsidR="001D5FEB" w:rsidRPr="004F217D" w:rsidRDefault="007E4135">
      <w:pPr>
        <w:rPr>
          <w:lang w:val="ro-MD"/>
        </w:rPr>
      </w:pPr>
    </w:p>
    <w:sectPr w:rsidR="001D5FEB" w:rsidRPr="004F2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C11C1"/>
    <w:multiLevelType w:val="hybridMultilevel"/>
    <w:tmpl w:val="A90CB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8C"/>
    <w:rsid w:val="0030758C"/>
    <w:rsid w:val="004F217D"/>
    <w:rsid w:val="006401C3"/>
    <w:rsid w:val="006464FE"/>
    <w:rsid w:val="006605AC"/>
    <w:rsid w:val="0076015D"/>
    <w:rsid w:val="007E4135"/>
    <w:rsid w:val="008703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946A1"/>
  <w15:chartTrackingRefBased/>
  <w15:docId w15:val="{10834D43-5DAC-4573-B9A1-4BCA81AB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58C"/>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58C"/>
    <w:pPr>
      <w:widowControl w:val="0"/>
      <w:spacing w:after="0" w:line="240" w:lineRule="auto"/>
      <w:ind w:left="720"/>
      <w:contextualSpacing/>
    </w:pPr>
    <w:rPr>
      <w:rFonts w:ascii="Microsoft Sans Serif" w:eastAsia="Microsoft Sans Serif" w:hAnsi="Microsoft Sans Serif" w:cs="Microsoft Sans Serif"/>
      <w:color w:val="000000"/>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539</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Jurminschi</dc:creator>
  <cp:keywords/>
  <dc:description/>
  <cp:lastModifiedBy>Veronica Jurminschi</cp:lastModifiedBy>
  <cp:revision>4</cp:revision>
  <dcterms:created xsi:type="dcterms:W3CDTF">2021-08-16T12:35:00Z</dcterms:created>
  <dcterms:modified xsi:type="dcterms:W3CDTF">2021-08-17T13:48:00Z</dcterms:modified>
</cp:coreProperties>
</file>