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Pr="00E4704A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RO"/>
        </w:rPr>
      </w:pPr>
    </w:p>
    <w:p w:rsidR="005664A6" w:rsidRPr="00E4704A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Denumirea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 xml:space="preserve"> publice vacante: </w:t>
      </w:r>
      <w:r w:rsidRPr="00E4704A">
        <w:rPr>
          <w:bCs/>
          <w:color w:val="000000"/>
          <w:sz w:val="28"/>
          <w:szCs w:val="28"/>
          <w:lang w:val="ro-RO"/>
        </w:rPr>
        <w:t>consultant</w:t>
      </w:r>
      <w:r w:rsidR="00A26019">
        <w:rPr>
          <w:bCs/>
          <w:color w:val="000000"/>
          <w:sz w:val="28"/>
          <w:szCs w:val="28"/>
          <w:lang w:val="ro-RO"/>
        </w:rPr>
        <w:t>/ă</w:t>
      </w:r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4C4024" w:rsidRPr="00E4704A">
        <w:rPr>
          <w:bCs/>
          <w:color w:val="000000"/>
          <w:sz w:val="28"/>
          <w:szCs w:val="28"/>
          <w:lang w:val="ro-RO"/>
        </w:rPr>
        <w:t>principal</w:t>
      </w:r>
      <w:r w:rsidR="00A26019">
        <w:rPr>
          <w:bCs/>
          <w:color w:val="000000"/>
          <w:sz w:val="28"/>
          <w:szCs w:val="28"/>
          <w:lang w:val="ro-RO"/>
        </w:rPr>
        <w:t>/ă</w:t>
      </w:r>
      <w:r w:rsidR="000E0232" w:rsidRPr="00E4704A">
        <w:rPr>
          <w:bCs/>
          <w:color w:val="000000"/>
          <w:sz w:val="28"/>
          <w:szCs w:val="28"/>
          <w:lang w:val="ro-RO"/>
        </w:rPr>
        <w:t xml:space="preserve"> </w:t>
      </w:r>
      <w:r w:rsidRPr="00E4704A">
        <w:rPr>
          <w:bCs/>
          <w:color w:val="000000"/>
          <w:sz w:val="28"/>
          <w:szCs w:val="28"/>
          <w:lang w:val="ro-RO"/>
        </w:rPr>
        <w:t>al</w:t>
      </w:r>
      <w:r w:rsidR="00A26019">
        <w:rPr>
          <w:bCs/>
          <w:color w:val="000000"/>
          <w:sz w:val="28"/>
          <w:szCs w:val="28"/>
          <w:lang w:val="ro-RO"/>
        </w:rPr>
        <w:t>/a</w:t>
      </w:r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80083B" w:rsidRPr="00E4704A">
        <w:rPr>
          <w:bCs/>
          <w:color w:val="000000"/>
          <w:sz w:val="28"/>
          <w:szCs w:val="28"/>
          <w:lang w:val="ro-RO"/>
        </w:rPr>
        <w:t>D</w:t>
      </w:r>
      <w:r w:rsidR="009F52C7" w:rsidRPr="00E4704A">
        <w:rPr>
          <w:bCs/>
          <w:color w:val="000000"/>
          <w:sz w:val="28"/>
          <w:szCs w:val="28"/>
          <w:lang w:val="ro-RO"/>
        </w:rPr>
        <w:t>irecției</w:t>
      </w:r>
      <w:r w:rsidR="00E116C4"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4C4024" w:rsidRPr="00E4704A">
        <w:rPr>
          <w:bCs/>
          <w:color w:val="000000"/>
          <w:sz w:val="28"/>
          <w:szCs w:val="28"/>
          <w:lang w:val="ro-RO"/>
        </w:rPr>
        <w:t>metodologie</w:t>
      </w:r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A26019">
        <w:rPr>
          <w:bCs/>
          <w:color w:val="000000"/>
          <w:sz w:val="28"/>
          <w:szCs w:val="28"/>
          <w:lang w:val="ro-RO"/>
        </w:rPr>
        <w:t>î</w:t>
      </w:r>
      <w:r w:rsidRPr="00E4704A">
        <w:rPr>
          <w:bCs/>
          <w:color w:val="000000"/>
          <w:sz w:val="28"/>
          <w:szCs w:val="28"/>
          <w:lang w:val="ro-RO"/>
        </w:rPr>
        <w:t xml:space="preserve">n cadrul Direcției </w:t>
      </w:r>
      <w:r w:rsidR="0080083B" w:rsidRPr="00E4704A">
        <w:rPr>
          <w:bCs/>
          <w:color w:val="000000"/>
          <w:sz w:val="28"/>
          <w:szCs w:val="28"/>
          <w:lang w:val="ro-RO"/>
        </w:rPr>
        <w:t>generale Trezoreria de Stat</w:t>
      </w:r>
      <w:r w:rsidR="004A0373" w:rsidRPr="00E4704A">
        <w:rPr>
          <w:bCs/>
          <w:color w:val="000000"/>
          <w:sz w:val="28"/>
          <w:szCs w:val="28"/>
          <w:lang w:val="ro-RO"/>
        </w:rPr>
        <w:t xml:space="preserve"> </w:t>
      </w:r>
      <w:r w:rsidRPr="00E4704A">
        <w:rPr>
          <w:bCs/>
          <w:color w:val="000000"/>
          <w:sz w:val="28"/>
          <w:szCs w:val="28"/>
          <w:lang w:val="ro-RO"/>
        </w:rPr>
        <w:t>– 1 funcție vacantă;</w:t>
      </w:r>
    </w:p>
    <w:p w:rsidR="005664A6" w:rsidRPr="00E4704A" w:rsidRDefault="005664A6" w:rsidP="005664A6">
      <w:pPr>
        <w:shd w:val="clear" w:color="auto" w:fill="FFFFFF"/>
        <w:rPr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Scopul general al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>:</w:t>
      </w:r>
    </w:p>
    <w:p w:rsidR="005664A6" w:rsidRPr="00E4704A" w:rsidRDefault="004C4024" w:rsidP="004C4024">
      <w:p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Contribuirea la implementarea politicii de stat  în domeniul gestionării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publice prin actualizarea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perfecţionarea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metodologiei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evidenţei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contabile și raportării în sistemul bugetar.</w:t>
      </w:r>
    </w:p>
    <w:p w:rsidR="004C4024" w:rsidRPr="00E4704A" w:rsidRDefault="004C4024" w:rsidP="005664A6">
      <w:pPr>
        <w:shd w:val="clear" w:color="auto" w:fill="FFFFFF"/>
        <w:rPr>
          <w:bCs/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RO"/>
        </w:rPr>
      </w:pPr>
      <w:r w:rsidRPr="00E4704A">
        <w:rPr>
          <w:b/>
          <w:bCs/>
          <w:color w:val="000000"/>
          <w:sz w:val="28"/>
          <w:szCs w:val="28"/>
          <w:lang w:val="ro-RO"/>
        </w:rPr>
        <w:t xml:space="preserve">Sarcinile de bază ale </w:t>
      </w:r>
      <w:r w:rsidR="00C11669" w:rsidRPr="00E4704A">
        <w:rPr>
          <w:b/>
          <w:bCs/>
          <w:color w:val="000000"/>
          <w:sz w:val="28"/>
          <w:szCs w:val="28"/>
          <w:lang w:val="ro-RO"/>
        </w:rPr>
        <w:t>funcției</w:t>
      </w:r>
      <w:r w:rsidRPr="00E4704A">
        <w:rPr>
          <w:b/>
          <w:bCs/>
          <w:color w:val="000000"/>
          <w:sz w:val="28"/>
          <w:szCs w:val="28"/>
          <w:lang w:val="ro-RO"/>
        </w:rPr>
        <w:t>:</w:t>
      </w:r>
    </w:p>
    <w:p w:rsidR="005664A6" w:rsidRPr="00E4704A" w:rsidRDefault="005664A6" w:rsidP="004D5FCF">
      <w:pPr>
        <w:pStyle w:val="a4"/>
        <w:tabs>
          <w:tab w:val="left" w:pos="180"/>
          <w:tab w:val="left" w:pos="270"/>
        </w:tabs>
        <w:ind w:left="0"/>
        <w:jc w:val="both"/>
        <w:rPr>
          <w:b/>
          <w:bCs/>
          <w:color w:val="000000"/>
          <w:sz w:val="28"/>
          <w:szCs w:val="28"/>
          <w:lang w:val="ro-RO"/>
        </w:rPr>
      </w:pPr>
    </w:p>
    <w:p w:rsidR="006A0A0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>Elaborarea politicilor în domeniul evidenței contabile și raportării în sistemul bugetar</w:t>
      </w:r>
      <w:r w:rsidR="006A0A04" w:rsidRPr="00E4704A">
        <w:rPr>
          <w:bCs/>
          <w:color w:val="000000"/>
          <w:sz w:val="28"/>
          <w:szCs w:val="28"/>
          <w:lang w:val="ro-RO"/>
        </w:rPr>
        <w:t>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rFonts w:eastAsia="Calibri"/>
          <w:sz w:val="28"/>
          <w:szCs w:val="28"/>
          <w:lang w:val="ro-RO" w:eastAsia="en-US"/>
        </w:rPr>
        <w:t xml:space="preserve">Elaborarea și perfecționarea metodologiei </w:t>
      </w:r>
      <w:proofErr w:type="spellStart"/>
      <w:r w:rsidRPr="00E4704A">
        <w:rPr>
          <w:rFonts w:eastAsia="Calibri"/>
          <w:sz w:val="28"/>
          <w:szCs w:val="28"/>
          <w:lang w:val="ro-RO" w:eastAsia="en-US"/>
        </w:rPr>
        <w:t>evidenţei</w:t>
      </w:r>
      <w:proofErr w:type="spellEnd"/>
      <w:r w:rsidRPr="00E4704A">
        <w:rPr>
          <w:rFonts w:eastAsia="Calibri"/>
          <w:sz w:val="28"/>
          <w:szCs w:val="28"/>
          <w:lang w:val="ro-RO" w:eastAsia="en-US"/>
        </w:rPr>
        <w:t xml:space="preserve"> contabile și raportării în sistemul bugetar;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Elaborarea și avizarea actelor legislative și normative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domeniu, înaintarea propunerilor de completare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modificare a actelor legislative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normative în vigoare;</w:t>
      </w:r>
    </w:p>
    <w:p w:rsidR="004C4024" w:rsidRPr="00E4704A" w:rsidRDefault="004C4024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Examinarea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pregătirea avizelor la Hotărârile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Curţii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Conturi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competenţa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Direcției generale Trezoreriei de Stat.  Elaborarea Planurilor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acţiuni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privind implementarea recomandărilor Curții de Conturi și monitorizarea realizării acestora;</w:t>
      </w:r>
    </w:p>
    <w:p w:rsidR="004D5FCF" w:rsidRPr="00E4704A" w:rsidRDefault="004D5FCF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Instruirea contabililor și acordarea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asistenţei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metodologice pe problemele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evidenţa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contabilă și raportare în sistemul bugetar;</w:t>
      </w:r>
    </w:p>
    <w:p w:rsidR="004D5FCF" w:rsidRPr="00E4704A" w:rsidRDefault="004D5FCF" w:rsidP="004D5FCF">
      <w:pPr>
        <w:pStyle w:val="a4"/>
        <w:numPr>
          <w:ilvl w:val="0"/>
          <w:numId w:val="6"/>
        </w:numPr>
        <w:tabs>
          <w:tab w:val="left" w:pos="180"/>
          <w:tab w:val="left" w:pos="270"/>
        </w:tabs>
        <w:ind w:left="270" w:hanging="270"/>
        <w:jc w:val="both"/>
        <w:rPr>
          <w:bCs/>
          <w:color w:val="000000"/>
          <w:sz w:val="28"/>
          <w:szCs w:val="28"/>
          <w:lang w:val="ro-RO"/>
        </w:rPr>
      </w:pPr>
      <w:r w:rsidRPr="00E4704A">
        <w:rPr>
          <w:bCs/>
          <w:color w:val="000000"/>
          <w:sz w:val="28"/>
          <w:szCs w:val="28"/>
          <w:lang w:val="ro-RO"/>
        </w:rPr>
        <w:t xml:space="preserve">Întocmirea răspunsurilor la adresările,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indicaţiile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,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petiţiile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parvenite în cadrul Ministerului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ce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ţin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de </w:t>
      </w:r>
      <w:proofErr w:type="spellStart"/>
      <w:r w:rsidRPr="00E4704A">
        <w:rPr>
          <w:bCs/>
          <w:color w:val="000000"/>
          <w:sz w:val="28"/>
          <w:szCs w:val="28"/>
          <w:lang w:val="ro-RO"/>
        </w:rPr>
        <w:t>competenţa</w:t>
      </w:r>
      <w:proofErr w:type="spellEnd"/>
      <w:r w:rsidRPr="00E4704A">
        <w:rPr>
          <w:bCs/>
          <w:color w:val="000000"/>
          <w:sz w:val="28"/>
          <w:szCs w:val="28"/>
          <w:lang w:val="ro-RO"/>
        </w:rPr>
        <w:t xml:space="preserve"> direcției.</w:t>
      </w:r>
    </w:p>
    <w:p w:rsidR="004D5FCF" w:rsidRPr="00E4704A" w:rsidRDefault="004D5FCF" w:rsidP="005415C7">
      <w:pPr>
        <w:pStyle w:val="a4"/>
        <w:ind w:left="284"/>
        <w:jc w:val="both"/>
        <w:rPr>
          <w:bCs/>
          <w:color w:val="000000"/>
          <w:sz w:val="28"/>
          <w:szCs w:val="28"/>
          <w:lang w:val="ro-RO"/>
        </w:rPr>
      </w:pPr>
    </w:p>
    <w:p w:rsidR="003A37DD" w:rsidRPr="00E4704A" w:rsidRDefault="003A37DD" w:rsidP="003A37DD">
      <w:pPr>
        <w:ind w:left="284"/>
        <w:jc w:val="both"/>
        <w:rPr>
          <w:sz w:val="26"/>
          <w:szCs w:val="26"/>
          <w:lang w:val="ro-RO" w:eastAsia="en-US"/>
        </w:rPr>
      </w:pPr>
    </w:p>
    <w:p w:rsidR="005664A6" w:rsidRPr="00E4704A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>Cerințe specifice:</w:t>
      </w:r>
    </w:p>
    <w:p w:rsidR="00F2490F" w:rsidRPr="00E4704A" w:rsidRDefault="00F2490F" w:rsidP="00F2490F">
      <w:pPr>
        <w:jc w:val="both"/>
        <w:rPr>
          <w:b/>
          <w:bCs/>
          <w:i/>
          <w:color w:val="000000"/>
          <w:sz w:val="28"/>
          <w:szCs w:val="28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lang w:val="ro-RO"/>
        </w:rPr>
        <w:t>Studii:</w:t>
      </w:r>
      <w:r w:rsidRPr="00E4704A">
        <w:rPr>
          <w:bCs/>
          <w:color w:val="000000"/>
          <w:sz w:val="28"/>
          <w:szCs w:val="28"/>
          <w:lang w:val="ro-RO"/>
        </w:rPr>
        <w:t xml:space="preserve"> </w:t>
      </w:r>
      <w:r w:rsidR="004D5FCF" w:rsidRPr="00E4704A">
        <w:rPr>
          <w:bCs/>
          <w:color w:val="000000"/>
          <w:sz w:val="28"/>
          <w:szCs w:val="28"/>
          <w:lang w:val="ro-RO"/>
        </w:rPr>
        <w:t xml:space="preserve">Superioare, de </w:t>
      </w:r>
      <w:proofErr w:type="spellStart"/>
      <w:r w:rsidR="004D5FCF" w:rsidRPr="00E4704A">
        <w:rPr>
          <w:bCs/>
          <w:color w:val="000000"/>
          <w:sz w:val="28"/>
          <w:szCs w:val="28"/>
          <w:lang w:val="ro-RO"/>
        </w:rPr>
        <w:t>licenţă</w:t>
      </w:r>
      <w:proofErr w:type="spellEnd"/>
      <w:r w:rsidR="004D5FCF" w:rsidRPr="00E4704A">
        <w:rPr>
          <w:bCs/>
          <w:color w:val="000000"/>
          <w:sz w:val="28"/>
          <w:szCs w:val="28"/>
          <w:lang w:val="ro-RO"/>
        </w:rPr>
        <w:t xml:space="preserve"> sau echivalente, în domeniul contabil.</w:t>
      </w:r>
    </w:p>
    <w:p w:rsidR="00F2490F" w:rsidRPr="00E4704A" w:rsidRDefault="00F2490F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b/>
          <w:bCs/>
          <w:i/>
          <w:color w:val="000000"/>
          <w:sz w:val="28"/>
          <w:szCs w:val="28"/>
          <w:lang w:val="ro-RO"/>
        </w:rPr>
        <w:t>Experiență profesională</w:t>
      </w:r>
      <w:r w:rsidRPr="00E4704A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4D5FCF" w:rsidRPr="00E4704A">
        <w:rPr>
          <w:rFonts w:eastAsia="SimSun"/>
          <w:sz w:val="28"/>
          <w:szCs w:val="28"/>
          <w:lang w:val="ro-RO" w:eastAsia="zh-CN"/>
        </w:rPr>
        <w:t>:</w:t>
      </w:r>
      <w:r w:rsidRPr="00E4704A">
        <w:rPr>
          <w:rFonts w:eastAsia="SimSun"/>
          <w:sz w:val="28"/>
          <w:szCs w:val="28"/>
          <w:lang w:val="ro-RO" w:eastAsia="zh-CN"/>
        </w:rPr>
        <w:t xml:space="preserve"> </w:t>
      </w:r>
      <w:r w:rsidR="00A720E4">
        <w:rPr>
          <w:bCs/>
          <w:color w:val="000000"/>
          <w:sz w:val="28"/>
          <w:szCs w:val="28"/>
          <w:lang w:val="ro-RO"/>
        </w:rPr>
        <w:t>1,5</w:t>
      </w:r>
      <w:r w:rsidR="004D5FCF" w:rsidRPr="00E4704A">
        <w:rPr>
          <w:bCs/>
          <w:color w:val="000000"/>
          <w:sz w:val="28"/>
          <w:szCs w:val="28"/>
          <w:lang w:val="ro-RO"/>
        </w:rPr>
        <w:t xml:space="preserve"> ani în domeniul </w:t>
      </w:r>
      <w:r w:rsidR="00D20619" w:rsidRPr="00E4704A">
        <w:rPr>
          <w:bCs/>
          <w:color w:val="000000"/>
          <w:sz w:val="28"/>
          <w:szCs w:val="28"/>
          <w:lang w:val="ro-RO"/>
        </w:rPr>
        <w:t>contabilității bugetare</w:t>
      </w:r>
      <w:r w:rsidR="004D5FCF" w:rsidRPr="00E4704A">
        <w:rPr>
          <w:bCs/>
          <w:color w:val="000000"/>
          <w:sz w:val="28"/>
          <w:szCs w:val="28"/>
          <w:lang w:val="ro-RO"/>
        </w:rPr>
        <w:t>.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legislaţiei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în domeniu; 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contabilităţii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, a domeniului financiar; </w:t>
      </w:r>
    </w:p>
    <w:p w:rsidR="00D20619" w:rsidRPr="00E4704A" w:rsidRDefault="00D20619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Cunoașterea </w:t>
      </w:r>
      <w:r w:rsidR="005F52BD" w:rsidRPr="005F52BD">
        <w:rPr>
          <w:color w:val="000000"/>
          <w:sz w:val="28"/>
          <w:szCs w:val="28"/>
          <w:lang w:val="ro-RO"/>
        </w:rPr>
        <w:t>Standardel</w:t>
      </w:r>
      <w:r w:rsidR="005F52BD">
        <w:rPr>
          <w:color w:val="000000"/>
          <w:sz w:val="28"/>
          <w:szCs w:val="28"/>
          <w:lang w:val="ro-RO"/>
        </w:rPr>
        <w:t>or</w:t>
      </w:r>
      <w:r w:rsidR="005F52BD" w:rsidRPr="005F52BD">
        <w:rPr>
          <w:color w:val="000000"/>
          <w:sz w:val="28"/>
          <w:szCs w:val="28"/>
          <w:lang w:val="ro-RO"/>
        </w:rPr>
        <w:t xml:space="preserve"> Internaționale de Contabilitate pentru Sectorul Public </w:t>
      </w:r>
      <w:r w:rsidR="005F52BD">
        <w:rPr>
          <w:color w:val="000000"/>
          <w:sz w:val="28"/>
          <w:szCs w:val="28"/>
          <w:lang w:val="ro-RO"/>
        </w:rPr>
        <w:t>(</w:t>
      </w:r>
      <w:r w:rsidRPr="00E4704A">
        <w:rPr>
          <w:color w:val="000000"/>
          <w:sz w:val="28"/>
          <w:szCs w:val="28"/>
          <w:lang w:val="ro-RO"/>
        </w:rPr>
        <w:t>IPSAS</w:t>
      </w:r>
      <w:r w:rsidR="005F52BD">
        <w:rPr>
          <w:color w:val="000000"/>
          <w:sz w:val="28"/>
          <w:szCs w:val="28"/>
          <w:lang w:val="ro-RO"/>
        </w:rPr>
        <w:t>)</w:t>
      </w:r>
      <w:r w:rsidRPr="00E4704A">
        <w:rPr>
          <w:color w:val="000000"/>
          <w:sz w:val="28"/>
          <w:szCs w:val="28"/>
          <w:lang w:val="ro-RO"/>
        </w:rPr>
        <w:t xml:space="preserve"> va constitui un avantaj;</w:t>
      </w:r>
    </w:p>
    <w:p w:rsidR="004D5FCF" w:rsidRPr="00E4704A" w:rsidRDefault="004D5FCF" w:rsidP="004D5FC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E4704A">
        <w:rPr>
          <w:color w:val="000000"/>
          <w:sz w:val="28"/>
          <w:szCs w:val="28"/>
          <w:lang w:val="ro-RO"/>
        </w:rPr>
        <w:t>Cunoaşterea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limbii de stat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unei limbi de </w:t>
      </w:r>
      <w:proofErr w:type="spellStart"/>
      <w:r w:rsidRPr="00E4704A">
        <w:rPr>
          <w:color w:val="000000"/>
          <w:sz w:val="28"/>
          <w:szCs w:val="28"/>
          <w:lang w:val="ro-RO"/>
        </w:rPr>
        <w:t>circulaţie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internaţională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(nivel B1).</w:t>
      </w:r>
    </w:p>
    <w:p w:rsidR="004D5FCF" w:rsidRPr="00E4704A" w:rsidRDefault="004D5FCF" w:rsidP="004D5FCF">
      <w:pPr>
        <w:jc w:val="both"/>
        <w:rPr>
          <w:b/>
          <w:sz w:val="28"/>
          <w:szCs w:val="28"/>
          <w:lang w:val="ro-RO"/>
        </w:rPr>
      </w:pPr>
    </w:p>
    <w:p w:rsidR="004D5FCF" w:rsidRPr="00E4704A" w:rsidRDefault="004D5FCF" w:rsidP="004D5FCF">
      <w:pPr>
        <w:jc w:val="both"/>
        <w:rPr>
          <w:sz w:val="28"/>
          <w:szCs w:val="28"/>
          <w:lang w:val="ro-RO" w:eastAsia="en-US"/>
        </w:rPr>
      </w:pPr>
      <w:r w:rsidRPr="00E4704A">
        <w:rPr>
          <w:b/>
          <w:i/>
          <w:sz w:val="28"/>
          <w:szCs w:val="28"/>
          <w:lang w:val="ro-RO"/>
        </w:rPr>
        <w:t>Abilități</w:t>
      </w:r>
      <w:r w:rsidRPr="00E4704A">
        <w:rPr>
          <w:b/>
          <w:sz w:val="28"/>
          <w:szCs w:val="28"/>
          <w:lang w:val="ro-RO"/>
        </w:rPr>
        <w:t>:</w:t>
      </w:r>
      <w:r w:rsidRPr="00E4704A">
        <w:rPr>
          <w:sz w:val="28"/>
          <w:szCs w:val="28"/>
          <w:lang w:val="ro-RO"/>
        </w:rPr>
        <w:t xml:space="preserve"> </w:t>
      </w:r>
      <w:proofErr w:type="spellStart"/>
      <w:r w:rsidRPr="00E4704A">
        <w:rPr>
          <w:sz w:val="28"/>
          <w:szCs w:val="28"/>
          <w:lang w:val="ro-RO"/>
        </w:rPr>
        <w:t>abilităţi</w:t>
      </w:r>
      <w:proofErr w:type="spellEnd"/>
      <w:r w:rsidRPr="00E4704A">
        <w:rPr>
          <w:sz w:val="28"/>
          <w:szCs w:val="28"/>
          <w:lang w:val="ro-RO"/>
        </w:rPr>
        <w:t xml:space="preserve"> de utilizare a computerului (Word, Excel, PowerPoint, Internet), de lucru cu </w:t>
      </w:r>
      <w:proofErr w:type="spellStart"/>
      <w:r w:rsidRPr="00E4704A">
        <w:rPr>
          <w:sz w:val="28"/>
          <w:szCs w:val="28"/>
          <w:lang w:val="ro-RO"/>
        </w:rPr>
        <w:t>informaţia</w:t>
      </w:r>
      <w:proofErr w:type="spellEnd"/>
      <w:r w:rsidRPr="00E4704A">
        <w:rPr>
          <w:sz w:val="28"/>
          <w:szCs w:val="28"/>
          <w:lang w:val="ro-RO"/>
        </w:rPr>
        <w:t xml:space="preserve">, analiză </w:t>
      </w:r>
      <w:proofErr w:type="spellStart"/>
      <w:r w:rsidRPr="00E4704A">
        <w:rPr>
          <w:sz w:val="28"/>
          <w:szCs w:val="28"/>
          <w:lang w:val="ro-RO"/>
        </w:rPr>
        <w:t>şi</w:t>
      </w:r>
      <w:proofErr w:type="spellEnd"/>
      <w:r w:rsidRPr="00E4704A">
        <w:rPr>
          <w:sz w:val="28"/>
          <w:szCs w:val="28"/>
          <w:lang w:val="ro-RO"/>
        </w:rPr>
        <w:t xml:space="preserve"> sinteză, elaborare a documentelor, consultare, prezentare, instruire, motivare, comunicare eficientă, lucrul în echipă.</w:t>
      </w:r>
    </w:p>
    <w:p w:rsidR="004D5FCF" w:rsidRPr="00E4704A" w:rsidRDefault="004D5FCF" w:rsidP="004D5FCF">
      <w:pPr>
        <w:jc w:val="both"/>
        <w:rPr>
          <w:sz w:val="28"/>
          <w:szCs w:val="28"/>
          <w:lang w:val="ro-RO"/>
        </w:rPr>
      </w:pPr>
      <w:r w:rsidRPr="00E4704A">
        <w:rPr>
          <w:sz w:val="28"/>
          <w:szCs w:val="28"/>
          <w:lang w:val="ro-RO"/>
        </w:rPr>
        <w:t xml:space="preserve">     </w:t>
      </w:r>
    </w:p>
    <w:p w:rsidR="004D5FCF" w:rsidRPr="00E4704A" w:rsidRDefault="004D5FCF" w:rsidP="004D5FCF">
      <w:pPr>
        <w:jc w:val="both"/>
        <w:rPr>
          <w:b/>
          <w:color w:val="000000"/>
          <w:sz w:val="28"/>
          <w:szCs w:val="28"/>
          <w:lang w:val="ro-RO"/>
        </w:rPr>
      </w:pPr>
      <w:r w:rsidRPr="00E4704A">
        <w:rPr>
          <w:b/>
          <w:i/>
          <w:sz w:val="28"/>
          <w:szCs w:val="28"/>
          <w:lang w:val="ro-RO"/>
        </w:rPr>
        <w:t>Atitudini/comportamente</w:t>
      </w:r>
      <w:r w:rsidRPr="00E4704A">
        <w:rPr>
          <w:i/>
          <w:sz w:val="28"/>
          <w:szCs w:val="28"/>
          <w:lang w:val="ro-RO"/>
        </w:rPr>
        <w:t>:</w:t>
      </w:r>
      <w:r w:rsidRPr="00E4704A">
        <w:rPr>
          <w:sz w:val="28"/>
          <w:szCs w:val="28"/>
          <w:lang w:val="ro-RO"/>
        </w:rPr>
        <w:t xml:space="preserve"> respect </w:t>
      </w:r>
      <w:proofErr w:type="spellStart"/>
      <w:r w:rsidRPr="00E4704A">
        <w:rPr>
          <w:sz w:val="28"/>
          <w:szCs w:val="28"/>
          <w:lang w:val="ro-RO"/>
        </w:rPr>
        <w:t>faţă</w:t>
      </w:r>
      <w:proofErr w:type="spellEnd"/>
      <w:r w:rsidRPr="00E4704A">
        <w:rPr>
          <w:sz w:val="28"/>
          <w:szCs w:val="28"/>
          <w:lang w:val="ro-RO"/>
        </w:rPr>
        <w:t xml:space="preserve"> de oameni, spirit de </w:t>
      </w:r>
      <w:proofErr w:type="spellStart"/>
      <w:r w:rsidRPr="00E4704A">
        <w:rPr>
          <w:sz w:val="28"/>
          <w:szCs w:val="28"/>
          <w:lang w:val="ro-RO"/>
        </w:rPr>
        <w:t>iniţiativă</w:t>
      </w:r>
      <w:proofErr w:type="spellEnd"/>
      <w:r w:rsidRPr="00E4704A">
        <w:rPr>
          <w:sz w:val="28"/>
          <w:szCs w:val="28"/>
          <w:lang w:val="ro-RO"/>
        </w:rPr>
        <w:t xml:space="preserve">, creativitate, flexibilitate, disciplină, responsabilitate, </w:t>
      </w:r>
      <w:proofErr w:type="spellStart"/>
      <w:r w:rsidRPr="00E4704A">
        <w:rPr>
          <w:sz w:val="28"/>
          <w:szCs w:val="28"/>
          <w:lang w:val="ro-RO"/>
        </w:rPr>
        <w:t>tendinţă</w:t>
      </w:r>
      <w:proofErr w:type="spellEnd"/>
      <w:r w:rsidRPr="00E4704A">
        <w:rPr>
          <w:sz w:val="28"/>
          <w:szCs w:val="28"/>
          <w:lang w:val="ro-RO"/>
        </w:rPr>
        <w:t xml:space="preserve"> spre dezvoltare profesională continuă.</w:t>
      </w: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E4704A" w:rsidRDefault="00E04776" w:rsidP="00E04776">
      <w:pPr>
        <w:rPr>
          <w:b/>
          <w:sz w:val="28"/>
          <w:szCs w:val="28"/>
          <w:lang w:val="ro-RO"/>
        </w:rPr>
      </w:pPr>
      <w:r w:rsidRPr="00E4704A">
        <w:rPr>
          <w:b/>
          <w:sz w:val="28"/>
          <w:szCs w:val="28"/>
          <w:lang w:val="ro-RO"/>
        </w:rPr>
        <w:t xml:space="preserve">Cuantumul salariului brut: </w:t>
      </w:r>
      <w:r w:rsidR="004D5FCF" w:rsidRPr="00E4704A">
        <w:rPr>
          <w:b/>
          <w:sz w:val="28"/>
          <w:szCs w:val="28"/>
          <w:lang w:val="ro-RO"/>
        </w:rPr>
        <w:t>15990 lei - 19420  lei</w:t>
      </w: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E04776" w:rsidRPr="00E4704A" w:rsidRDefault="00E04776" w:rsidP="00F249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Pr="00E4704A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ro-RO"/>
        </w:rPr>
      </w:pPr>
    </w:p>
    <w:p w:rsidR="005664A6" w:rsidRPr="00E4704A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RO"/>
        </w:rPr>
      </w:pPr>
      <w:r w:rsidRPr="00E4704A">
        <w:rPr>
          <w:b/>
          <w:i/>
          <w:color w:val="000000"/>
          <w:sz w:val="28"/>
          <w:szCs w:val="28"/>
          <w:u w:val="single"/>
          <w:lang w:val="ro-RO"/>
        </w:rPr>
        <w:lastRenderedPageBreak/>
        <w:t xml:space="preserve">Bibliografia în baza căreia vor fi formulate întrebările pentru proba scrisă </w:t>
      </w:r>
      <w:proofErr w:type="spellStart"/>
      <w:r w:rsidRPr="00E4704A">
        <w:rPr>
          <w:b/>
          <w:i/>
          <w:color w:val="000000"/>
          <w:sz w:val="28"/>
          <w:szCs w:val="28"/>
          <w:u w:val="single"/>
          <w:lang w:val="ro-RO"/>
        </w:rPr>
        <w:t>şi</w:t>
      </w:r>
      <w:proofErr w:type="spellEnd"/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 interviu  la </w:t>
      </w:r>
      <w:proofErr w:type="spellStart"/>
      <w:r w:rsidRPr="00E4704A">
        <w:rPr>
          <w:b/>
          <w:i/>
          <w:color w:val="000000"/>
          <w:sz w:val="28"/>
          <w:szCs w:val="28"/>
          <w:u w:val="single"/>
          <w:lang w:val="ro-RO"/>
        </w:rPr>
        <w:t>funcţia</w:t>
      </w:r>
      <w:proofErr w:type="spellEnd"/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 </w:t>
      </w:r>
      <w:bookmarkStart w:id="0" w:name="_GoBack"/>
      <w:bookmarkEnd w:id="0"/>
      <w:r w:rsidRPr="00E4704A">
        <w:rPr>
          <w:b/>
          <w:i/>
          <w:color w:val="000000"/>
          <w:sz w:val="28"/>
          <w:szCs w:val="28"/>
          <w:u w:val="single"/>
          <w:lang w:val="ro-RO"/>
        </w:rPr>
        <w:t xml:space="preserve">vacantă de </w:t>
      </w:r>
      <w:r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>consultant</w:t>
      </w:r>
      <w:r w:rsidR="00A26019">
        <w:rPr>
          <w:b/>
          <w:bCs/>
          <w:i/>
          <w:color w:val="000000"/>
          <w:sz w:val="28"/>
          <w:szCs w:val="28"/>
          <w:u w:val="single"/>
          <w:lang w:val="ro-RO"/>
        </w:rPr>
        <w:t>/ă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</w:t>
      </w:r>
      <w:r w:rsidR="00D0673C">
        <w:rPr>
          <w:b/>
          <w:bCs/>
          <w:i/>
          <w:color w:val="000000"/>
          <w:sz w:val="28"/>
          <w:szCs w:val="28"/>
          <w:u w:val="single"/>
          <w:lang w:val="ro-RO"/>
        </w:rPr>
        <w:t>principal</w:t>
      </w:r>
      <w:r w:rsidR="00A26019">
        <w:rPr>
          <w:b/>
          <w:bCs/>
          <w:i/>
          <w:color w:val="000000"/>
          <w:sz w:val="28"/>
          <w:szCs w:val="28"/>
          <w:u w:val="single"/>
          <w:lang w:val="ro-RO"/>
        </w:rPr>
        <w:t>/ă</w:t>
      </w:r>
      <w:r w:rsidR="00D0673C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>al</w:t>
      </w:r>
      <w:r w:rsidR="00A26019">
        <w:rPr>
          <w:b/>
          <w:bCs/>
          <w:i/>
          <w:color w:val="000000"/>
          <w:sz w:val="28"/>
          <w:szCs w:val="28"/>
          <w:u w:val="single"/>
          <w:lang w:val="ro-RO"/>
        </w:rPr>
        <w:t>/a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Direcției </w:t>
      </w:r>
      <w:r w:rsidR="005F52BD">
        <w:rPr>
          <w:b/>
          <w:bCs/>
          <w:i/>
          <w:color w:val="000000"/>
          <w:sz w:val="28"/>
          <w:szCs w:val="28"/>
          <w:u w:val="single"/>
          <w:lang w:val="ro-RO"/>
        </w:rPr>
        <w:t>metodologie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 xml:space="preserve"> </w:t>
      </w:r>
      <w:r w:rsidR="00A26019">
        <w:rPr>
          <w:b/>
          <w:bCs/>
          <w:i/>
          <w:color w:val="000000"/>
          <w:sz w:val="28"/>
          <w:szCs w:val="28"/>
          <w:u w:val="single"/>
          <w:lang w:val="ro-RO"/>
        </w:rPr>
        <w:t>î</w:t>
      </w:r>
      <w:r w:rsidR="004A0373" w:rsidRPr="00E4704A">
        <w:rPr>
          <w:b/>
          <w:bCs/>
          <w:i/>
          <w:color w:val="000000"/>
          <w:sz w:val="28"/>
          <w:szCs w:val="28"/>
          <w:u w:val="single"/>
          <w:lang w:val="ro-RO"/>
        </w:rPr>
        <w:t>n cadrul Direcției generale Trezoreria de Stat</w:t>
      </w:r>
    </w:p>
    <w:p w:rsidR="005664A6" w:rsidRPr="00E4704A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RO"/>
        </w:rPr>
      </w:pPr>
    </w:p>
    <w:p w:rsidR="00607A2C" w:rsidRPr="00E4704A" w:rsidRDefault="00607A2C" w:rsidP="001D1DF4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Times New Roman"/>
          <w:sz w:val="28"/>
          <w:szCs w:val="28"/>
          <w:lang w:val="ro-RO" w:eastAsia="ru-RU"/>
        </w:rPr>
      </w:pPr>
      <w:r w:rsidRPr="00E4704A">
        <w:rPr>
          <w:rFonts w:eastAsia="Times New Roman"/>
          <w:sz w:val="28"/>
          <w:szCs w:val="28"/>
          <w:lang w:val="ro-RO" w:eastAsia="ru-RU"/>
        </w:rPr>
        <w:t xml:space="preserve">Legea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finanțelor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publice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și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responsabilității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bugetar-fiscale nr.181/2014</w:t>
      </w:r>
      <w:r w:rsidR="00B45BD6" w:rsidRPr="00E4704A">
        <w:rPr>
          <w:rFonts w:eastAsia="Times New Roman"/>
          <w:sz w:val="28"/>
          <w:szCs w:val="28"/>
          <w:lang w:val="ro-RO" w:eastAsia="ru-RU"/>
        </w:rPr>
        <w:t>;</w:t>
      </w:r>
      <w:r w:rsidRPr="00E4704A">
        <w:rPr>
          <w:rFonts w:eastAsia="Times New Roman"/>
          <w:sz w:val="28"/>
          <w:szCs w:val="28"/>
          <w:lang w:val="ro-RO" w:eastAsia="ru-RU"/>
        </w:rPr>
        <w:t xml:space="preserve"> </w:t>
      </w:r>
    </w:p>
    <w:p w:rsidR="00607A2C" w:rsidRPr="00E4704A" w:rsidRDefault="004A0373" w:rsidP="00607A2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>Legea nr.397/</w:t>
      </w:r>
      <w:r w:rsidR="00607A2C" w:rsidRPr="00E4704A">
        <w:rPr>
          <w:color w:val="000000"/>
          <w:sz w:val="28"/>
          <w:szCs w:val="28"/>
          <w:lang w:val="ro-RO"/>
        </w:rPr>
        <w:t>2003 p</w:t>
      </w:r>
      <w:r w:rsidR="00B45BD6" w:rsidRPr="00E4704A">
        <w:rPr>
          <w:color w:val="000000"/>
          <w:sz w:val="28"/>
          <w:szCs w:val="28"/>
          <w:lang w:val="ro-RO"/>
        </w:rPr>
        <w:t>rivind finanțele publice locale;</w:t>
      </w:r>
    </w:p>
    <w:p w:rsidR="00B45BD6" w:rsidRPr="00E4704A" w:rsidRDefault="004A0373" w:rsidP="00B45BD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>Legea nr.158/</w:t>
      </w:r>
      <w:r w:rsidR="00B45BD6" w:rsidRPr="00E4704A">
        <w:rPr>
          <w:color w:val="000000"/>
          <w:sz w:val="28"/>
          <w:szCs w:val="28"/>
          <w:lang w:val="ro-RO"/>
        </w:rPr>
        <w:t xml:space="preserve">2008 cu privire la funcția publică </w:t>
      </w:r>
      <w:r w:rsidR="00C11669" w:rsidRPr="00E4704A">
        <w:rPr>
          <w:color w:val="000000"/>
          <w:sz w:val="28"/>
          <w:szCs w:val="28"/>
          <w:lang w:val="ro-RO"/>
        </w:rPr>
        <w:t>și</w:t>
      </w:r>
      <w:r w:rsidR="00B45BD6" w:rsidRPr="00E4704A">
        <w:rPr>
          <w:color w:val="000000"/>
          <w:sz w:val="28"/>
          <w:szCs w:val="28"/>
          <w:lang w:val="ro-RO"/>
        </w:rPr>
        <w:t xml:space="preserve"> statutul funcționarului public;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E4704A">
        <w:rPr>
          <w:rFonts w:eastAsiaTheme="minorHAnsi"/>
          <w:sz w:val="28"/>
          <w:szCs w:val="28"/>
          <w:lang w:val="ro-RO" w:eastAsia="en-US"/>
        </w:rPr>
        <w:t>Legea contabilității nr.113/2007;</w:t>
      </w:r>
    </w:p>
    <w:p w:rsidR="001D1DF4" w:rsidRPr="00E4704A" w:rsidRDefault="001D1DF4" w:rsidP="005664A6">
      <w:pPr>
        <w:pStyle w:val="a4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Hotărârea Guvernului nr.696/2017 cu privire la organizarea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E4704A">
        <w:rPr>
          <w:color w:val="000000"/>
          <w:sz w:val="28"/>
          <w:szCs w:val="28"/>
          <w:lang w:val="ro-RO"/>
        </w:rPr>
        <w:t>funcţ</w:t>
      </w:r>
      <w:r w:rsidR="00B45BD6" w:rsidRPr="00E4704A">
        <w:rPr>
          <w:color w:val="000000"/>
          <w:sz w:val="28"/>
          <w:szCs w:val="28"/>
          <w:lang w:val="ro-RO"/>
        </w:rPr>
        <w:t>ionarea</w:t>
      </w:r>
      <w:proofErr w:type="spellEnd"/>
      <w:r w:rsidR="00B45BD6" w:rsidRPr="00E4704A">
        <w:rPr>
          <w:color w:val="000000"/>
          <w:sz w:val="28"/>
          <w:szCs w:val="28"/>
          <w:lang w:val="ro-RO"/>
        </w:rPr>
        <w:t xml:space="preserve"> Ministerului Finanțelor;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nr.60/2012 cu privire la aprobarea Regulamentului privind inventarierea;</w:t>
      </w:r>
    </w:p>
    <w:p w:rsidR="00D20619" w:rsidRPr="00E4704A" w:rsidRDefault="00D20619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nr.216/2015 cu privire la aprobarea Planului de conturi contabile în sistemul bugetar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a Normelor metodologice privind </w:t>
      </w:r>
      <w:proofErr w:type="spellStart"/>
      <w:r w:rsidRPr="00E4704A">
        <w:rPr>
          <w:color w:val="000000"/>
          <w:sz w:val="28"/>
          <w:szCs w:val="28"/>
          <w:lang w:val="ro-RO"/>
        </w:rPr>
        <w:t>evidenţa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contabilă </w:t>
      </w:r>
      <w:proofErr w:type="spellStart"/>
      <w:r w:rsidRPr="00E4704A">
        <w:rPr>
          <w:color w:val="000000"/>
          <w:sz w:val="28"/>
          <w:szCs w:val="28"/>
          <w:lang w:val="ro-RO"/>
        </w:rPr>
        <w:t>şi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raportarea financiară în sistemul bugetar;</w:t>
      </w:r>
    </w:p>
    <w:p w:rsidR="001D1DF4" w:rsidRPr="00E4704A" w:rsidRDefault="001D1DF4" w:rsidP="00D20619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val="ro-RO"/>
        </w:rPr>
      </w:pPr>
      <w:r w:rsidRPr="00E4704A">
        <w:rPr>
          <w:color w:val="000000"/>
          <w:sz w:val="28"/>
          <w:szCs w:val="28"/>
          <w:lang w:val="ro-RO"/>
        </w:rPr>
        <w:t xml:space="preserve">Ordinul ministrului </w:t>
      </w:r>
      <w:proofErr w:type="spellStart"/>
      <w:r w:rsidRPr="00E4704A">
        <w:rPr>
          <w:color w:val="000000"/>
          <w:sz w:val="28"/>
          <w:szCs w:val="28"/>
          <w:lang w:val="ro-RO"/>
        </w:rPr>
        <w:t>finanţelor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nr.208/2015 privind </w:t>
      </w:r>
      <w:proofErr w:type="spellStart"/>
      <w:r w:rsidRPr="00E4704A">
        <w:rPr>
          <w:color w:val="000000"/>
          <w:sz w:val="28"/>
          <w:szCs w:val="28"/>
          <w:lang w:val="ro-RO"/>
        </w:rPr>
        <w:t>Clasificaţia</w:t>
      </w:r>
      <w:proofErr w:type="spellEnd"/>
      <w:r w:rsidRPr="00E4704A">
        <w:rPr>
          <w:color w:val="000000"/>
          <w:sz w:val="28"/>
          <w:szCs w:val="28"/>
          <w:lang w:val="ro-RO"/>
        </w:rPr>
        <w:t xml:space="preserve"> bugetară</w:t>
      </w:r>
      <w:r w:rsidR="00D20619" w:rsidRPr="00E4704A">
        <w:rPr>
          <w:color w:val="000000"/>
          <w:sz w:val="28"/>
          <w:szCs w:val="28"/>
          <w:lang w:val="ro-RO"/>
        </w:rPr>
        <w:t>.</w:t>
      </w:r>
    </w:p>
    <w:p w:rsidR="005664A6" w:rsidRPr="00E4704A" w:rsidRDefault="005664A6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p w:rsidR="004C4024" w:rsidRPr="00E4704A" w:rsidRDefault="004C4024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p w:rsidR="004C4024" w:rsidRPr="00E4704A" w:rsidRDefault="004C4024" w:rsidP="004C4024">
      <w:pPr>
        <w:pStyle w:val="Default"/>
        <w:spacing w:before="240" w:line="276" w:lineRule="auto"/>
        <w:ind w:firstLine="630"/>
        <w:jc w:val="both"/>
        <w:rPr>
          <w:sz w:val="26"/>
          <w:szCs w:val="26"/>
          <w:lang w:val="ro-RO"/>
        </w:rPr>
      </w:pPr>
    </w:p>
    <w:p w:rsidR="004C4024" w:rsidRPr="00E4704A" w:rsidRDefault="004C4024" w:rsidP="00B45BD6">
      <w:pPr>
        <w:pStyle w:val="a4"/>
        <w:ind w:left="502"/>
        <w:jc w:val="both"/>
        <w:rPr>
          <w:color w:val="000000"/>
          <w:sz w:val="28"/>
          <w:szCs w:val="28"/>
          <w:lang w:val="ro-RO"/>
        </w:rPr>
      </w:pPr>
    </w:p>
    <w:sectPr w:rsidR="004C4024" w:rsidRPr="00E4704A" w:rsidSect="003B6455">
      <w:pgSz w:w="11906" w:h="16838"/>
      <w:pgMar w:top="18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383"/>
    <w:multiLevelType w:val="hybridMultilevel"/>
    <w:tmpl w:val="26588904"/>
    <w:lvl w:ilvl="0" w:tplc="D5107C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372B8"/>
    <w:multiLevelType w:val="hybridMultilevel"/>
    <w:tmpl w:val="81D8D1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653EFF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532C1"/>
    <w:rsid w:val="00056A0A"/>
    <w:rsid w:val="00075068"/>
    <w:rsid w:val="00096059"/>
    <w:rsid w:val="000E0232"/>
    <w:rsid w:val="000E11A8"/>
    <w:rsid w:val="001C398E"/>
    <w:rsid w:val="001D1DF4"/>
    <w:rsid w:val="001E600E"/>
    <w:rsid w:val="002A55F8"/>
    <w:rsid w:val="00305F84"/>
    <w:rsid w:val="00394745"/>
    <w:rsid w:val="003A37DD"/>
    <w:rsid w:val="003B328E"/>
    <w:rsid w:val="003B6455"/>
    <w:rsid w:val="004A0373"/>
    <w:rsid w:val="004A2DFB"/>
    <w:rsid w:val="004A6ABE"/>
    <w:rsid w:val="004B57F2"/>
    <w:rsid w:val="004C4024"/>
    <w:rsid w:val="004D5FCF"/>
    <w:rsid w:val="005415C7"/>
    <w:rsid w:val="005664A6"/>
    <w:rsid w:val="00593B96"/>
    <w:rsid w:val="005C579F"/>
    <w:rsid w:val="005E41C5"/>
    <w:rsid w:val="005F52BD"/>
    <w:rsid w:val="0060770D"/>
    <w:rsid w:val="00607A2C"/>
    <w:rsid w:val="00611D1F"/>
    <w:rsid w:val="006A0A04"/>
    <w:rsid w:val="0080083B"/>
    <w:rsid w:val="00867D13"/>
    <w:rsid w:val="008B5442"/>
    <w:rsid w:val="00941C00"/>
    <w:rsid w:val="0094201B"/>
    <w:rsid w:val="009A4E8E"/>
    <w:rsid w:val="009F52C7"/>
    <w:rsid w:val="00A26019"/>
    <w:rsid w:val="00A41670"/>
    <w:rsid w:val="00A720E4"/>
    <w:rsid w:val="00AC63A1"/>
    <w:rsid w:val="00AD7F3B"/>
    <w:rsid w:val="00B45BD6"/>
    <w:rsid w:val="00B6766E"/>
    <w:rsid w:val="00C11669"/>
    <w:rsid w:val="00C37BBE"/>
    <w:rsid w:val="00CD4D2F"/>
    <w:rsid w:val="00D0673C"/>
    <w:rsid w:val="00D20619"/>
    <w:rsid w:val="00D5285E"/>
    <w:rsid w:val="00D7351D"/>
    <w:rsid w:val="00E04776"/>
    <w:rsid w:val="00E116C4"/>
    <w:rsid w:val="00E4704A"/>
    <w:rsid w:val="00E54191"/>
    <w:rsid w:val="00EC5446"/>
    <w:rsid w:val="00F2490F"/>
    <w:rsid w:val="00F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8A57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07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t">
    <w:name w:val="tt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cn">
    <w:name w:val="cn"/>
    <w:basedOn w:val="a"/>
    <w:rsid w:val="001D1DF4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1D1DF4"/>
    <w:pPr>
      <w:spacing w:before="100" w:beforeAutospacing="1" w:after="100" w:afterAutospacing="1"/>
    </w:pPr>
    <w:rPr>
      <w:lang w:val="en-US" w:eastAsia="en-US"/>
    </w:rPr>
  </w:style>
  <w:style w:type="paragraph" w:customStyle="1" w:styleId="pb">
    <w:name w:val="pb"/>
    <w:basedOn w:val="a"/>
    <w:rsid w:val="001D1DF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7</cp:revision>
  <cp:lastPrinted>2024-06-24T12:08:00Z</cp:lastPrinted>
  <dcterms:created xsi:type="dcterms:W3CDTF">2024-06-20T11:29:00Z</dcterms:created>
  <dcterms:modified xsi:type="dcterms:W3CDTF">2025-08-19T05:54:00Z</dcterms:modified>
</cp:coreProperties>
</file>