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BD39" w14:textId="77777777" w:rsidR="00F95F5F" w:rsidRPr="008D0A69" w:rsidRDefault="00F95F5F" w:rsidP="00F95F5F">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SINTEZA</w:t>
      </w:r>
    </w:p>
    <w:p w14:paraId="52250228" w14:textId="77777777" w:rsidR="00F95F5F" w:rsidRPr="008D0A69" w:rsidRDefault="00F95F5F" w:rsidP="00F95F5F">
      <w:pPr>
        <w:spacing w:after="0"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la proiectul de </w:t>
      </w:r>
      <w:r>
        <w:rPr>
          <w:rFonts w:ascii="Times New Roman" w:eastAsia="Times New Roman" w:hAnsi="Times New Roman" w:cs="Times New Roman"/>
          <w:b/>
          <w:sz w:val="24"/>
          <w:szCs w:val="24"/>
          <w:lang w:eastAsia="ro-RO"/>
        </w:rPr>
        <w:t>Lege privind pieţele instrumentelor financiare și activitățile de investiții</w:t>
      </w:r>
    </w:p>
    <w:p w14:paraId="70D09930" w14:textId="77777777" w:rsidR="00F95F5F" w:rsidRDefault="00F95F5F" w:rsidP="00360310">
      <w:pPr>
        <w:spacing w:after="0" w:line="240" w:lineRule="auto"/>
        <w:ind w:firstLine="567"/>
        <w:jc w:val="both"/>
        <w:rPr>
          <w:rFonts w:ascii="Times New Roman" w:eastAsia="Times New Roman" w:hAnsi="Times New Roman" w:cs="Times New Roman"/>
          <w:sz w:val="24"/>
          <w:szCs w:val="24"/>
          <w:lang w:eastAsia="ro-RO"/>
        </w:rPr>
      </w:pP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6"/>
        <w:gridCol w:w="1845"/>
        <w:gridCol w:w="567"/>
        <w:gridCol w:w="5380"/>
        <w:gridCol w:w="3921"/>
      </w:tblGrid>
      <w:tr w:rsidR="00F95F5F" w:rsidRPr="00B64824" w14:paraId="2D7AA8F3" w14:textId="77777777" w:rsidTr="000B07F2">
        <w:trPr>
          <w:tblHeader/>
          <w:jc w:val="center"/>
        </w:trPr>
        <w:tc>
          <w:tcPr>
            <w:tcW w:w="1197" w:type="pct"/>
            <w:shd w:val="clear" w:color="auto" w:fill="F2F2F2" w:themeFill="background1" w:themeFillShade="F2"/>
            <w:tcMar>
              <w:top w:w="24" w:type="dxa"/>
              <w:left w:w="48" w:type="dxa"/>
              <w:bottom w:w="24" w:type="dxa"/>
              <w:right w:w="48" w:type="dxa"/>
            </w:tcMar>
            <w:vAlign w:val="center"/>
            <w:hideMark/>
          </w:tcPr>
          <w:p w14:paraId="0D91AC6B" w14:textId="77777777" w:rsidR="00F95F5F" w:rsidRPr="00B64824" w:rsidRDefault="00F95F5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Conţinutul articolelor/punctelor din proiectul prezentat spre avizare şi coordonare</w:t>
            </w:r>
          </w:p>
        </w:tc>
        <w:tc>
          <w:tcPr>
            <w:tcW w:w="599" w:type="pct"/>
            <w:shd w:val="clear" w:color="auto" w:fill="F2F2F2" w:themeFill="background1" w:themeFillShade="F2"/>
            <w:tcMar>
              <w:top w:w="24" w:type="dxa"/>
              <w:left w:w="48" w:type="dxa"/>
              <w:bottom w:w="24" w:type="dxa"/>
              <w:right w:w="48" w:type="dxa"/>
            </w:tcMar>
            <w:vAlign w:val="center"/>
            <w:hideMark/>
          </w:tcPr>
          <w:p w14:paraId="28904097" w14:textId="77777777" w:rsidR="00F95F5F" w:rsidRPr="00B64824" w:rsidRDefault="00F95F5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Participantul la avizare, consultare publică, expertizare</w:t>
            </w:r>
          </w:p>
        </w:tc>
        <w:tc>
          <w:tcPr>
            <w:tcW w:w="184" w:type="pct"/>
            <w:shd w:val="clear" w:color="auto" w:fill="F2F2F2" w:themeFill="background1" w:themeFillShade="F2"/>
            <w:tcMar>
              <w:top w:w="24" w:type="dxa"/>
              <w:left w:w="48" w:type="dxa"/>
              <w:bottom w:w="24" w:type="dxa"/>
              <w:right w:w="48" w:type="dxa"/>
            </w:tcMar>
            <w:vAlign w:val="center"/>
            <w:hideMark/>
          </w:tcPr>
          <w:p w14:paraId="410AB1C7" w14:textId="77777777" w:rsidR="00F95F5F" w:rsidRPr="00B64824" w:rsidRDefault="00F95F5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Nr. crt.</w:t>
            </w:r>
          </w:p>
        </w:tc>
        <w:tc>
          <w:tcPr>
            <w:tcW w:w="1747" w:type="pct"/>
            <w:shd w:val="clear" w:color="auto" w:fill="F2F2F2" w:themeFill="background1" w:themeFillShade="F2"/>
            <w:tcMar>
              <w:top w:w="24" w:type="dxa"/>
              <w:left w:w="48" w:type="dxa"/>
              <w:bottom w:w="24" w:type="dxa"/>
              <w:right w:w="48" w:type="dxa"/>
            </w:tcMar>
            <w:vAlign w:val="center"/>
            <w:hideMark/>
          </w:tcPr>
          <w:p w14:paraId="5252FFBA" w14:textId="77777777" w:rsidR="00F95F5F" w:rsidRPr="00B64824" w:rsidRDefault="00F95F5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Conţinutul obiecţiei, propunerii, recomandării, concluziei</w:t>
            </w:r>
          </w:p>
        </w:tc>
        <w:tc>
          <w:tcPr>
            <w:tcW w:w="1273" w:type="pct"/>
            <w:shd w:val="clear" w:color="auto" w:fill="F2F2F2" w:themeFill="background1" w:themeFillShade="F2"/>
            <w:tcMar>
              <w:top w:w="24" w:type="dxa"/>
              <w:left w:w="48" w:type="dxa"/>
              <w:bottom w:w="24" w:type="dxa"/>
              <w:right w:w="48" w:type="dxa"/>
            </w:tcMar>
            <w:vAlign w:val="center"/>
            <w:hideMark/>
          </w:tcPr>
          <w:p w14:paraId="552953A4" w14:textId="77777777" w:rsidR="00F95F5F" w:rsidRPr="00B64824" w:rsidRDefault="00F95F5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Argumentarea autorului proiectului</w:t>
            </w:r>
          </w:p>
        </w:tc>
      </w:tr>
      <w:tr w:rsidR="00F95F5F" w:rsidRPr="004714EF" w14:paraId="64D869ED" w14:textId="77777777" w:rsidTr="00C9452A">
        <w:trPr>
          <w:trHeight w:val="80"/>
          <w:tblHeader/>
          <w:jc w:val="center"/>
        </w:trPr>
        <w:tc>
          <w:tcPr>
            <w:tcW w:w="5000" w:type="pct"/>
            <w:gridSpan w:val="5"/>
            <w:shd w:val="clear" w:color="auto" w:fill="DBDBDB" w:themeFill="accent3" w:themeFillTint="66"/>
            <w:tcMar>
              <w:top w:w="24" w:type="dxa"/>
              <w:left w:w="48" w:type="dxa"/>
              <w:bottom w:w="24" w:type="dxa"/>
              <w:right w:w="48" w:type="dxa"/>
            </w:tcMar>
            <w:vAlign w:val="center"/>
            <w:hideMark/>
          </w:tcPr>
          <w:p w14:paraId="55B03B1B" w14:textId="77777777" w:rsidR="00F95F5F" w:rsidRPr="008B2C8C" w:rsidRDefault="00F95F5F" w:rsidP="00C74CE6">
            <w:pPr>
              <w:spacing w:after="0" w:line="240" w:lineRule="auto"/>
              <w:jc w:val="center"/>
              <w:rPr>
                <w:rFonts w:ascii="Times New Roman" w:eastAsia="Times New Roman" w:hAnsi="Times New Roman" w:cs="Times New Roman"/>
                <w:b/>
                <w:bCs/>
                <w:sz w:val="20"/>
                <w:szCs w:val="20"/>
                <w:lang w:val="ro-RO" w:eastAsia="ro-RO"/>
              </w:rPr>
            </w:pPr>
            <w:r>
              <w:rPr>
                <w:rFonts w:ascii="Times New Roman" w:hAnsi="Times New Roman" w:cs="Times New Roman"/>
                <w:b/>
                <w:sz w:val="20"/>
                <w:szCs w:val="20"/>
              </w:rPr>
              <w:t>Avizare și consultare</w:t>
            </w:r>
            <w:r>
              <w:rPr>
                <w:rFonts w:ascii="Times New Roman" w:hAnsi="Times New Roman" w:cs="Times New Roman"/>
                <w:b/>
                <w:sz w:val="20"/>
                <w:szCs w:val="20"/>
                <w:lang w:val="ro-RO"/>
              </w:rPr>
              <w:t xml:space="preserve"> publică</w:t>
            </w:r>
          </w:p>
        </w:tc>
      </w:tr>
      <w:tr w:rsidR="00C74CE6" w:rsidRPr="00104D47" w14:paraId="20FBF731" w14:textId="77777777" w:rsidTr="000B07F2">
        <w:trPr>
          <w:jc w:val="center"/>
        </w:trPr>
        <w:tc>
          <w:tcPr>
            <w:tcW w:w="1197" w:type="pct"/>
            <w:tcMar>
              <w:top w:w="24" w:type="dxa"/>
              <w:left w:w="48" w:type="dxa"/>
              <w:bottom w:w="24" w:type="dxa"/>
              <w:right w:w="48" w:type="dxa"/>
            </w:tcMar>
            <w:vAlign w:val="center"/>
          </w:tcPr>
          <w:p w14:paraId="5D64913F" w14:textId="77777777" w:rsidR="00C74CE6" w:rsidRPr="00394717" w:rsidRDefault="00C74CE6" w:rsidP="00C74CE6">
            <w:pPr>
              <w:tabs>
                <w:tab w:val="left" w:pos="426"/>
                <w:tab w:val="left" w:pos="993"/>
              </w:tabs>
              <w:spacing w:after="0" w:line="240" w:lineRule="auto"/>
              <w:ind w:left="-5"/>
              <w:rPr>
                <w:rFonts w:ascii="Times New Roman" w:hAnsi="Times New Roman" w:cs="Times New Roman"/>
                <w:b/>
                <w:iCs/>
                <w:sz w:val="20"/>
                <w:szCs w:val="20"/>
                <w:lang w:val="ro-RO"/>
              </w:rPr>
            </w:pPr>
            <w:r>
              <w:rPr>
                <w:rFonts w:ascii="Times New Roman" w:hAnsi="Times New Roman" w:cs="Times New Roman"/>
                <w:b/>
                <w:iCs/>
                <w:sz w:val="20"/>
                <w:szCs w:val="20"/>
                <w:lang w:val="ro-RO"/>
              </w:rPr>
              <w:t>Articolul 2. Domeniul de aplicare și alte prevederi generale</w:t>
            </w:r>
          </w:p>
          <w:p w14:paraId="76250A28" w14:textId="77777777" w:rsidR="00C74CE6" w:rsidRPr="00C71263" w:rsidRDefault="00C74CE6" w:rsidP="00C74CE6">
            <w:pPr>
              <w:spacing w:after="0" w:line="240" w:lineRule="auto"/>
              <w:rPr>
                <w:rFonts w:ascii="Times New Roman" w:eastAsia="Times New Roman" w:hAnsi="Times New Roman" w:cs="Times New Roman"/>
                <w:b/>
                <w:iCs/>
                <w:sz w:val="20"/>
                <w:szCs w:val="20"/>
                <w:lang w:val="ro-RO" w:eastAsia="ro-RO"/>
              </w:rPr>
            </w:pPr>
            <w:r>
              <w:rPr>
                <w:rFonts w:ascii="Times New Roman" w:hAnsi="Times New Roman" w:cs="Times New Roman"/>
                <w:sz w:val="20"/>
                <w:szCs w:val="20"/>
              </w:rPr>
              <w:t>(6)</w:t>
            </w:r>
            <w:r>
              <w:rPr>
                <w:rFonts w:ascii="Times New Roman" w:hAnsi="Times New Roman" w:cs="Times New Roman"/>
                <w:b/>
                <w:sz w:val="20"/>
                <w:szCs w:val="20"/>
              </w:rPr>
              <w:t xml:space="preserve"> </w:t>
            </w:r>
            <w:r>
              <w:rPr>
                <w:rFonts w:ascii="Times New Roman" w:hAnsi="Times New Roman" w:cs="Times New Roman"/>
                <w:sz w:val="20"/>
                <w:szCs w:val="20"/>
                <w:lang w:val="ro-RO"/>
              </w:rPr>
              <w:t>Dispozițiile art.6, titlului II capitolul IV, titlului III capitolul III și titlului VI capitolul II și art.143 lit.b) se aplică, în mod corespunzător, persoanelor prevăzute la alin.(1), precum și băncilor și instituțiilor de credit autorizate în statele membre, atunci când prestează servicii de investiții și/sau desfășoară activități de investiții.</w:t>
            </w:r>
          </w:p>
        </w:tc>
        <w:tc>
          <w:tcPr>
            <w:tcW w:w="599" w:type="pct"/>
            <w:tcMar>
              <w:top w:w="24" w:type="dxa"/>
              <w:left w:w="48" w:type="dxa"/>
              <w:bottom w:w="24" w:type="dxa"/>
              <w:right w:w="48" w:type="dxa"/>
            </w:tcMar>
            <w:vAlign w:val="center"/>
          </w:tcPr>
          <w:p w14:paraId="06038C6F" w14:textId="77777777" w:rsidR="00C74CE6" w:rsidRPr="00C936B6" w:rsidRDefault="00C74CE6" w:rsidP="00C74CE6">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Banca Națională a Moldovei</w:t>
            </w:r>
          </w:p>
          <w:p w14:paraId="512F2104" w14:textId="77777777" w:rsidR="00C74CE6" w:rsidRPr="0003123E" w:rsidRDefault="00C74CE6" w:rsidP="00C74CE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(„BNM”; scrisoare nr.31-002/64/2418 din</w:t>
            </w:r>
          </w:p>
          <w:p w14:paraId="1812741E" w14:textId="77777777" w:rsidR="00C74CE6" w:rsidRDefault="00C74CE6" w:rsidP="00C74CE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16FD5853" w14:textId="77777777" w:rsidR="00C74CE6" w:rsidRDefault="00C74CE6" w:rsidP="00C74CE6">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10322F30" w14:textId="77777777" w:rsidR="00C74CE6" w:rsidRDefault="00C74CE6" w:rsidP="00C74CE6">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w:t>
            </w:r>
          </w:p>
        </w:tc>
        <w:tc>
          <w:tcPr>
            <w:tcW w:w="1747" w:type="pct"/>
            <w:tcMar>
              <w:top w:w="24" w:type="dxa"/>
              <w:left w:w="48" w:type="dxa"/>
              <w:bottom w:w="24" w:type="dxa"/>
              <w:right w:w="48" w:type="dxa"/>
            </w:tcMar>
            <w:vAlign w:val="center"/>
          </w:tcPr>
          <w:p w14:paraId="7048FF67" w14:textId="77777777" w:rsidR="00C74CE6" w:rsidRDefault="00C74CE6" w:rsidP="00C74CE6">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color w:val="000000"/>
                <w:sz w:val="20"/>
                <w:szCs w:val="20"/>
                <w:lang w:val="ro-RO"/>
              </w:rPr>
              <w:t>La art. 2 alin. (6) din proiect, se propune excluderea cuvintelor „băncilor și”.</w:t>
            </w:r>
          </w:p>
        </w:tc>
        <w:tc>
          <w:tcPr>
            <w:tcW w:w="1273" w:type="pct"/>
            <w:tcMar>
              <w:top w:w="24" w:type="dxa"/>
              <w:left w:w="48" w:type="dxa"/>
              <w:bottom w:w="24" w:type="dxa"/>
              <w:right w:w="48" w:type="dxa"/>
            </w:tcMar>
            <w:vAlign w:val="center"/>
          </w:tcPr>
          <w:p w14:paraId="3B7B10BF" w14:textId="77777777" w:rsidR="00C74CE6" w:rsidRPr="00D778ED" w:rsidRDefault="00C74CE6" w:rsidP="00C74CE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Se acceptă</w:t>
            </w:r>
          </w:p>
          <w:p w14:paraId="7B3E52D0" w14:textId="77777777" w:rsidR="00C74CE6" w:rsidRDefault="00C74CE6" w:rsidP="00C74CE6">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Au fost operate modificări: sintagma „băncilor și instituțiilor de credit autorizate în statele membre” a fost înlocuită cu sintagma „instituțiilor de credit”</w:t>
            </w:r>
          </w:p>
        </w:tc>
      </w:tr>
      <w:tr w:rsidR="00724452" w:rsidRPr="00104D47" w14:paraId="54850D0F" w14:textId="77777777" w:rsidTr="000B07F2">
        <w:trPr>
          <w:jc w:val="center"/>
        </w:trPr>
        <w:tc>
          <w:tcPr>
            <w:tcW w:w="1197" w:type="pct"/>
            <w:vMerge w:val="restart"/>
            <w:tcMar>
              <w:top w:w="24" w:type="dxa"/>
              <w:left w:w="48" w:type="dxa"/>
              <w:bottom w:w="24" w:type="dxa"/>
              <w:right w:w="48" w:type="dxa"/>
            </w:tcMar>
            <w:vAlign w:val="center"/>
          </w:tcPr>
          <w:p w14:paraId="7D46CF90" w14:textId="77777777" w:rsidR="00724452" w:rsidRDefault="00724452" w:rsidP="00C74CE6">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4. Noțiuni principale</w:t>
            </w:r>
          </w:p>
          <w:p w14:paraId="2095D36E" w14:textId="77777777" w:rsidR="00724452" w:rsidRPr="00174652" w:rsidRDefault="00724452" w:rsidP="00C74CE6">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2EDCF037" w14:textId="77777777" w:rsidR="00724452" w:rsidRDefault="00724452" w:rsidP="00C74CE6">
            <w:pPr>
              <w:tabs>
                <w:tab w:val="left" w:pos="426"/>
                <w:tab w:val="left" w:pos="993"/>
              </w:tabs>
              <w:spacing w:after="0" w:line="240" w:lineRule="auto"/>
              <w:ind w:left="-5"/>
              <w:rPr>
                <w:rFonts w:ascii="Times New Roman" w:hAnsi="Times New Roman" w:cs="Times New Roman"/>
                <w:b/>
                <w:iCs/>
                <w:sz w:val="20"/>
                <w:szCs w:val="20"/>
                <w:lang w:val="ro-RO"/>
              </w:rPr>
            </w:pPr>
            <w:r>
              <w:rPr>
                <w:rFonts w:ascii="Times New Roman" w:eastAsia="Times New Roman" w:hAnsi="Times New Roman" w:cs="Times New Roman"/>
                <w:b/>
                <w:iCs/>
                <w:sz w:val="20"/>
                <w:szCs w:val="20"/>
                <w:lang w:val="ro-RO" w:eastAsia="ro-RO"/>
              </w:rPr>
              <w:t xml:space="preserve">9) </w:t>
            </w:r>
            <w:r>
              <w:rPr>
                <w:rFonts w:ascii="Times New Roman" w:eastAsia="Times New Roman" w:hAnsi="Times New Roman" w:cs="Times New Roman"/>
                <w:bCs/>
                <w:i/>
                <w:sz w:val="20"/>
                <w:szCs w:val="20"/>
                <w:lang w:val="ro-RO" w:eastAsia="ro-RO"/>
              </w:rPr>
              <w:t>beneficiar efectiv</w:t>
            </w:r>
            <w:r>
              <w:rPr>
                <w:rFonts w:ascii="Times New Roman" w:eastAsia="Times New Roman" w:hAnsi="Times New Roman" w:cs="Times New Roman"/>
                <w:b/>
                <w:iCs/>
                <w:sz w:val="20"/>
                <w:szCs w:val="20"/>
                <w:lang w:val="ro-RO" w:eastAsia="ro-RO"/>
              </w:rPr>
              <w:t xml:space="preserve"> – </w:t>
            </w:r>
            <w:r>
              <w:rPr>
                <w:rFonts w:ascii="Times New Roman" w:eastAsia="Times New Roman" w:hAnsi="Times New Roman" w:cs="Times New Roman"/>
                <w:bCs/>
                <w:iCs/>
                <w:sz w:val="20"/>
                <w:szCs w:val="20"/>
                <w:lang w:val="ro-RO" w:eastAsia="ro-RO"/>
              </w:rPr>
              <w:t>persoană fizică care deţine sau controlează în ultimă instanţă, direct sau indirect, achizitorul potenţial ori deţinătorul direct sau indirect al unei deţineri în capitalul social al firmei de investiții sau din drepturile de vot;</w:t>
            </w:r>
          </w:p>
        </w:tc>
        <w:tc>
          <w:tcPr>
            <w:tcW w:w="599" w:type="pct"/>
            <w:tcMar>
              <w:top w:w="24" w:type="dxa"/>
              <w:left w:w="48" w:type="dxa"/>
              <w:bottom w:w="24" w:type="dxa"/>
              <w:right w:w="48" w:type="dxa"/>
            </w:tcMar>
            <w:vAlign w:val="center"/>
          </w:tcPr>
          <w:p w14:paraId="6CF82BDE" w14:textId="77777777" w:rsidR="00724452" w:rsidRPr="00C936B6" w:rsidRDefault="00724452" w:rsidP="00C74CE6">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 xml:space="preserve">Serviciul Prevenirea și Combaterea Spălării Banilor </w:t>
            </w:r>
          </w:p>
          <w:p w14:paraId="07B7E534" w14:textId="77777777" w:rsidR="00724452" w:rsidRPr="0003123E" w:rsidRDefault="00724452" w:rsidP="00C74CE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(„SPCSB”; scrisoare nr. 01/2-30-789 din</w:t>
            </w:r>
          </w:p>
          <w:p w14:paraId="34E0B19D" w14:textId="77777777" w:rsidR="00724452" w:rsidRDefault="00724452" w:rsidP="00C74CE6">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07.05.2026)</w:t>
            </w:r>
          </w:p>
          <w:p w14:paraId="2B0AB6F1" w14:textId="77777777" w:rsidR="00724452" w:rsidRDefault="00724452" w:rsidP="00C74CE6">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55190C66" w14:textId="77777777" w:rsidR="00724452" w:rsidRDefault="00724452" w:rsidP="00C74CE6">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w:t>
            </w:r>
          </w:p>
        </w:tc>
        <w:tc>
          <w:tcPr>
            <w:tcW w:w="1747" w:type="pct"/>
            <w:tcMar>
              <w:top w:w="24" w:type="dxa"/>
              <w:left w:w="48" w:type="dxa"/>
              <w:bottom w:w="24" w:type="dxa"/>
              <w:right w:w="48" w:type="dxa"/>
            </w:tcMar>
            <w:vAlign w:val="center"/>
          </w:tcPr>
          <w:p w14:paraId="3CFD7E85" w14:textId="77777777" w:rsidR="00724452" w:rsidRPr="00724452" w:rsidRDefault="00724452" w:rsidP="00724452">
            <w:pPr>
              <w:autoSpaceDE w:val="0"/>
              <w:autoSpaceDN w:val="0"/>
              <w:adjustRightInd w:val="0"/>
              <w:spacing w:after="0" w:line="240" w:lineRule="auto"/>
              <w:ind w:right="98"/>
              <w:jc w:val="both"/>
              <w:rPr>
                <w:rFonts w:ascii="Times New Roman" w:hAnsi="Times New Roman" w:cs="Times New Roman"/>
                <w:b/>
                <w:bCs/>
                <w:color w:val="000000"/>
                <w:sz w:val="20"/>
                <w:szCs w:val="20"/>
                <w:lang w:val="ro-RO"/>
              </w:rPr>
            </w:pPr>
            <w:r>
              <w:rPr>
                <w:rFonts w:ascii="Times New Roman" w:hAnsi="Times New Roman" w:cs="Times New Roman"/>
                <w:sz w:val="20"/>
                <w:szCs w:val="20"/>
                <w:lang w:val="ro-RO"/>
              </w:rPr>
              <w:t xml:space="preserve">Reieșind din faptul că definiția beneficiarului efectiv prevăzută la art. 4, alin. (1), pct. 9) are un caracter sectorial și prudențial, fiind orientată spre evaluarea achizitorului potențial, deținătorului direct sau indirect și controlului exercitat asupra capitalului social sau drepturilor de vot ale firmei de investiții, considerăm necesară corelarea acesteia cu noțiunea </w:t>
            </w:r>
            <w:r>
              <w:rPr>
                <w:rFonts w:ascii="Times New Roman" w:hAnsi="Times New Roman" w:cs="Times New Roman"/>
                <w:i/>
                <w:iCs/>
                <w:sz w:val="20"/>
                <w:szCs w:val="20"/>
                <w:lang w:val="ro-RO"/>
              </w:rPr>
              <w:t xml:space="preserve">beneficiarului efectiv </w:t>
            </w:r>
            <w:r>
              <w:rPr>
                <w:rFonts w:ascii="Times New Roman" w:hAnsi="Times New Roman" w:cs="Times New Roman"/>
                <w:sz w:val="20"/>
                <w:szCs w:val="20"/>
                <w:lang w:val="ro-RO"/>
              </w:rPr>
              <w:t xml:space="preserve">consacrată de legislația privind prevenirea și combaterea spălării banilor și finanțării terorismului, care are un domeniu de aplicare mai extins și vizează identificarea persoanei fizice care deține sau controlează în ultimă instanță clientul ori persoana în numele sau în interesul căreia se realizează o activitate sau o tranzacție. În vederea evitării aplicării paralele a unor standarde terminologice diferite, se consideră oportună completarea proiectului cu o normă de coroborare expresă cu legislația specială în domeniul prevenirii și combaterii spălării banilor și finanțării terorismului. </w:t>
            </w:r>
            <w:r>
              <w:rPr>
                <w:rFonts w:ascii="Times New Roman" w:hAnsi="Times New Roman" w:cs="Times New Roman"/>
                <w:sz w:val="20"/>
                <w:szCs w:val="20"/>
                <w:lang w:val="en-US"/>
              </w:rPr>
              <w:t>[…]</w:t>
            </w:r>
          </w:p>
        </w:tc>
        <w:tc>
          <w:tcPr>
            <w:tcW w:w="1273" w:type="pct"/>
            <w:tcMar>
              <w:top w:w="24" w:type="dxa"/>
              <w:left w:w="48" w:type="dxa"/>
              <w:bottom w:w="24" w:type="dxa"/>
              <w:right w:w="48" w:type="dxa"/>
            </w:tcMar>
            <w:vAlign w:val="center"/>
          </w:tcPr>
          <w:p w14:paraId="63EB8982" w14:textId="77777777" w:rsidR="00724452" w:rsidRPr="00D778ED" w:rsidRDefault="00724452" w:rsidP="00C74CE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Se acceptă</w:t>
            </w:r>
          </w:p>
          <w:p w14:paraId="5E072E38" w14:textId="77777777" w:rsidR="00724452" w:rsidRDefault="00724452" w:rsidP="00C74CE6">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Au fost operate modificări: definiția beneficiarului efectiv va fi redată prin trimitere la art.5² din Legea nr. 308/2017 cu privire la prevenirea și combaterea spălării banilor și finanțării terorismului</w:t>
            </w:r>
          </w:p>
        </w:tc>
      </w:tr>
      <w:tr w:rsidR="00724452" w:rsidRPr="00104D47" w14:paraId="26737D4E" w14:textId="77777777" w:rsidTr="000B07F2">
        <w:trPr>
          <w:jc w:val="center"/>
        </w:trPr>
        <w:tc>
          <w:tcPr>
            <w:tcW w:w="1197" w:type="pct"/>
            <w:vMerge/>
            <w:tcMar>
              <w:top w:w="24" w:type="dxa"/>
              <w:left w:w="48" w:type="dxa"/>
              <w:bottom w:w="24" w:type="dxa"/>
              <w:right w:w="48" w:type="dxa"/>
            </w:tcMar>
            <w:vAlign w:val="center"/>
          </w:tcPr>
          <w:p w14:paraId="0F52D5D0" w14:textId="77777777" w:rsidR="00724452" w:rsidRPr="00C71263" w:rsidRDefault="00724452" w:rsidP="00C74CE6">
            <w:pPr>
              <w:spacing w:after="0" w:line="240" w:lineRule="auto"/>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77E14C79" w14:textId="77777777" w:rsidR="00724452" w:rsidRDefault="00724452" w:rsidP="00C74CE6">
            <w:pPr>
              <w:spacing w:after="0" w:line="240" w:lineRule="auto"/>
              <w:rPr>
                <w:rFonts w:ascii="Times New Roman" w:hAnsi="Times New Roman" w:cs="Times New Roman"/>
                <w:b/>
                <w:bCs/>
                <w:sz w:val="20"/>
                <w:szCs w:val="20"/>
                <w:lang w:val="ro-RO"/>
              </w:rPr>
            </w:pPr>
            <w:r w:rsidRPr="00724452">
              <w:rPr>
                <w:rFonts w:ascii="Times New Roman" w:hAnsi="Times New Roman" w:cs="Times New Roman"/>
                <w:b/>
                <w:bCs/>
                <w:sz w:val="20"/>
                <w:szCs w:val="20"/>
                <w:lang w:val="ro-RO"/>
              </w:rPr>
              <w:t>SPCSB</w:t>
            </w:r>
          </w:p>
          <w:p w14:paraId="193FBBD7" w14:textId="77777777" w:rsidR="008A1D50" w:rsidRPr="0003123E" w:rsidRDefault="0057753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w:t>
            </w:r>
            <w:r w:rsidR="008A1D50">
              <w:rPr>
                <w:rFonts w:ascii="Times New Roman" w:eastAsia="Times New Roman" w:hAnsi="Times New Roman" w:cs="Times New Roman"/>
                <w:sz w:val="20"/>
                <w:szCs w:val="20"/>
                <w:lang w:eastAsia="ro-RO"/>
              </w:rPr>
              <w:t>scrisoare nr. 01/2-30-789 din</w:t>
            </w:r>
          </w:p>
          <w:p w14:paraId="3D15E093" w14:textId="77777777" w:rsidR="00577530" w:rsidRDefault="008A1D5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07.05.2026)</w:t>
            </w:r>
          </w:p>
          <w:p w14:paraId="0B554D75" w14:textId="77777777" w:rsidR="00577530" w:rsidRPr="00724452" w:rsidRDefault="00577530" w:rsidP="00C74CE6">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6289441D" w14:textId="77777777" w:rsidR="00724452" w:rsidRPr="00F20207" w:rsidRDefault="00724452" w:rsidP="00C74CE6">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w:t>
            </w:r>
          </w:p>
        </w:tc>
        <w:tc>
          <w:tcPr>
            <w:tcW w:w="1747" w:type="pct"/>
            <w:tcMar>
              <w:top w:w="24" w:type="dxa"/>
              <w:left w:w="48" w:type="dxa"/>
              <w:bottom w:w="24" w:type="dxa"/>
              <w:right w:w="48" w:type="dxa"/>
            </w:tcMar>
            <w:vAlign w:val="center"/>
          </w:tcPr>
          <w:p w14:paraId="4706F8BB" w14:textId="77777777" w:rsidR="00724452" w:rsidRPr="003A6C26" w:rsidRDefault="00724452" w:rsidP="00C74CE6">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Astfel, art. 4, alin. (1), pct. 9) definește noțiunea de </w:t>
            </w:r>
            <w:r>
              <w:rPr>
                <w:rFonts w:ascii="Times New Roman" w:hAnsi="Times New Roman" w:cs="Times New Roman"/>
                <w:i/>
                <w:iCs/>
                <w:sz w:val="20"/>
                <w:szCs w:val="20"/>
                <w:lang w:val="ro-RO"/>
              </w:rPr>
              <w:t xml:space="preserve">„beneficiar efectiv” </w:t>
            </w:r>
            <w:r>
              <w:rPr>
                <w:rFonts w:ascii="Times New Roman" w:hAnsi="Times New Roman" w:cs="Times New Roman"/>
                <w:sz w:val="20"/>
                <w:szCs w:val="20"/>
                <w:lang w:val="ro-RO"/>
              </w:rPr>
              <w:t xml:space="preserve">ca fiind persoana fizică care deține sau controlează în ultimă instanță, direct sau indirect, achizitorul potențial ori deținătorul direct sau indirect al unei dețineri în capitalul social al firmei de investiții sau din drepturile de vot. Totodată, art. 4, alin. (1), pct. 2) și pct.3) includ expres dobândirea acțiunilor sau a participației calificate </w:t>
            </w:r>
            <w:r>
              <w:rPr>
                <w:rFonts w:ascii="Times New Roman" w:hAnsi="Times New Roman" w:cs="Times New Roman"/>
                <w:i/>
                <w:iCs/>
                <w:sz w:val="20"/>
                <w:szCs w:val="20"/>
                <w:lang w:val="ro-RO"/>
              </w:rPr>
              <w:t>inclusiv în calitate de beneficiar efectiv</w:t>
            </w:r>
            <w:r>
              <w:rPr>
                <w:rFonts w:ascii="Times New Roman" w:hAnsi="Times New Roman" w:cs="Times New Roman"/>
                <w:sz w:val="20"/>
                <w:szCs w:val="20"/>
                <w:lang w:val="ro-RO"/>
              </w:rPr>
              <w:t xml:space="preserve">, iar </w:t>
            </w:r>
            <w:r>
              <w:rPr>
                <w:rFonts w:ascii="Times New Roman" w:hAnsi="Times New Roman" w:cs="Times New Roman"/>
                <w:sz w:val="20"/>
                <w:szCs w:val="20"/>
                <w:lang w:val="ro-RO"/>
              </w:rPr>
              <w:lastRenderedPageBreak/>
              <w:t xml:space="preserve">art. 4, alin. (1), pct. 21) definește deținătorul/dobânditorul indirect ca persoana, </w:t>
            </w:r>
            <w:r>
              <w:rPr>
                <w:rFonts w:ascii="Times New Roman" w:hAnsi="Times New Roman" w:cs="Times New Roman"/>
                <w:i/>
                <w:iCs/>
                <w:sz w:val="20"/>
                <w:szCs w:val="20"/>
                <w:lang w:val="ro-RO"/>
              </w:rPr>
              <w:t>inclusiv beneficiarul efectiv, care deține sau dobândește o participație prin intermediul unei alte persoane asupra căreia exercită controlul</w:t>
            </w:r>
            <w:r>
              <w:rPr>
                <w:rFonts w:ascii="Times New Roman" w:hAnsi="Times New Roman" w:cs="Times New Roman"/>
                <w:sz w:val="20"/>
                <w:szCs w:val="20"/>
                <w:lang w:val="ro-RO"/>
              </w:rPr>
              <w:t>.</w:t>
            </w:r>
          </w:p>
          <w:p w14:paraId="718102DC" w14:textId="77777777" w:rsidR="00724452" w:rsidRPr="006A617C" w:rsidRDefault="00724452" w:rsidP="00C74CE6">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lang w:val="ro-RO"/>
              </w:rPr>
              <w:t>Subsecvent, normele respective demonstrează că scopul proiectului nu se limitează la identificarea titularului formal al participației, ci urmărește identificarea persoanei care exercită controlul efectiv asupra participației ori asupra potențialului achizitor. Din perspectiva prevenirii și combaterii spălării banilor și finanțării terorismului, soluția legislativă este justificată, întrucât riscul utilizării firmelor de investiții în scopuri ilicite poate rezulta nu doar din deținerea directă a acțiunilor, ci și din controlul exercitat prin interpuși, lanțuri de participații, structuri de deținere indirectă sau persoane care acționează concertat.</w:t>
            </w:r>
          </w:p>
        </w:tc>
        <w:tc>
          <w:tcPr>
            <w:tcW w:w="1273" w:type="pct"/>
            <w:tcMar>
              <w:top w:w="24" w:type="dxa"/>
              <w:left w:w="48" w:type="dxa"/>
              <w:bottom w:w="24" w:type="dxa"/>
              <w:right w:w="48" w:type="dxa"/>
            </w:tcMar>
            <w:vAlign w:val="center"/>
          </w:tcPr>
          <w:p w14:paraId="7D57A575" w14:textId="77777777" w:rsidR="00724452" w:rsidRPr="009B7C97" w:rsidRDefault="00724452" w:rsidP="00C74CE6">
            <w:pPr>
              <w:spacing w:after="0" w:line="240" w:lineRule="auto"/>
              <w:jc w:val="both"/>
              <w:rPr>
                <w:rFonts w:ascii="Times New Roman" w:hAnsi="Times New Roman" w:cs="Times New Roman"/>
                <w:sz w:val="20"/>
                <w:szCs w:val="20"/>
                <w:highlight w:val="yellow"/>
              </w:rPr>
            </w:pPr>
            <w:r>
              <w:rPr>
                <w:rFonts w:ascii="Times New Roman" w:hAnsi="Times New Roman" w:cs="Times New Roman"/>
                <w:b/>
                <w:bCs/>
                <w:sz w:val="20"/>
                <w:szCs w:val="20"/>
              </w:rPr>
              <w:lastRenderedPageBreak/>
              <w:t>Se ia act</w:t>
            </w:r>
          </w:p>
        </w:tc>
      </w:tr>
      <w:tr w:rsidR="00724452" w:rsidRPr="00104D47" w14:paraId="373121BF" w14:textId="77777777" w:rsidTr="000B07F2">
        <w:trPr>
          <w:jc w:val="center"/>
        </w:trPr>
        <w:tc>
          <w:tcPr>
            <w:tcW w:w="1197" w:type="pct"/>
            <w:vMerge/>
            <w:tcMar>
              <w:top w:w="24" w:type="dxa"/>
              <w:left w:w="48" w:type="dxa"/>
              <w:bottom w:w="24" w:type="dxa"/>
              <w:right w:w="48" w:type="dxa"/>
            </w:tcMar>
            <w:vAlign w:val="center"/>
          </w:tcPr>
          <w:p w14:paraId="379AE04B" w14:textId="77777777" w:rsidR="00724452" w:rsidRPr="00C71263" w:rsidRDefault="00724452" w:rsidP="00724452">
            <w:pPr>
              <w:spacing w:after="0" w:line="240" w:lineRule="auto"/>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4B9B779C" w14:textId="77777777" w:rsidR="00724452" w:rsidRDefault="00724452" w:rsidP="00724452">
            <w:pPr>
              <w:spacing w:after="0" w:line="240" w:lineRule="auto"/>
              <w:rPr>
                <w:rFonts w:ascii="Times New Roman" w:hAnsi="Times New Roman" w:cs="Times New Roman"/>
                <w:b/>
                <w:bCs/>
                <w:sz w:val="20"/>
                <w:szCs w:val="20"/>
                <w:lang w:val="ro-RO"/>
              </w:rPr>
            </w:pPr>
            <w:r w:rsidRPr="00724452">
              <w:rPr>
                <w:rFonts w:ascii="Times New Roman" w:hAnsi="Times New Roman" w:cs="Times New Roman"/>
                <w:b/>
                <w:bCs/>
                <w:sz w:val="20"/>
                <w:szCs w:val="20"/>
                <w:lang w:val="ro-RO"/>
              </w:rPr>
              <w:t>SPCSB</w:t>
            </w:r>
          </w:p>
          <w:p w14:paraId="264877C3"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 01/2-30-789 din 07.05.2026)</w:t>
            </w:r>
          </w:p>
          <w:p w14:paraId="45273062" w14:textId="77777777" w:rsidR="00577530" w:rsidRPr="00724452" w:rsidRDefault="00577530" w:rsidP="00724452">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0B77F074" w14:textId="77777777" w:rsidR="00724452" w:rsidRDefault="00724452" w:rsidP="00724452">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w:t>
            </w:r>
          </w:p>
        </w:tc>
        <w:tc>
          <w:tcPr>
            <w:tcW w:w="1747" w:type="pct"/>
            <w:tcMar>
              <w:top w:w="24" w:type="dxa"/>
              <w:left w:w="48" w:type="dxa"/>
              <w:bottom w:w="24" w:type="dxa"/>
              <w:right w:w="48" w:type="dxa"/>
            </w:tcMar>
            <w:vAlign w:val="center"/>
          </w:tcPr>
          <w:p w14:paraId="1350453F" w14:textId="77777777" w:rsidR="00724452" w:rsidRPr="006A617C" w:rsidRDefault="00724452" w:rsidP="00724452">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În ceea ce privește noul pachet legislativ al Uniunii Europene în domeniul prevenirii utilizării sistemului financiar în scopul spălării banilor sau finanțării terorismului, reprezentat de </w:t>
            </w:r>
            <w:r>
              <w:rPr>
                <w:rFonts w:ascii="Times New Roman" w:hAnsi="Times New Roman" w:cs="Times New Roman"/>
                <w:i/>
                <w:iCs/>
                <w:sz w:val="20"/>
                <w:szCs w:val="20"/>
                <w:lang w:val="ro-RO"/>
              </w:rPr>
              <w:t>Regulamentul (UE) 2024/1624 al Parlamentului European și al Consiliului din 31 mai 2024 privind prevenirea utilizării sistemului financiar în scopul spălării banilor sau finanțării terorismului și Directiva (UE) 2024/1640 a Parlamentului European și a Consiliului din 31 mai 2024 privind mecanismele care trebuie instituite de statele membre pentru prevenirea utilizării sistemului financiar în scopul spălării banilor sau finanțării terorismului</w:t>
            </w:r>
            <w:r>
              <w:rPr>
                <w:rFonts w:ascii="Times New Roman" w:hAnsi="Times New Roman" w:cs="Times New Roman"/>
                <w:sz w:val="20"/>
                <w:szCs w:val="20"/>
                <w:lang w:val="ro-RO"/>
              </w:rPr>
              <w:t>, menționăm că Serviciul Prevenirea și Combaterea Spălării Banilor se află în proces de elaborare a unui nou proiect de lege privind prevenirea și combaterea spălării banilor și finanțării terorismului pentru implementarea acestui pachet legislativ european.</w:t>
            </w:r>
          </w:p>
          <w:p w14:paraId="097D30B8" w14:textId="77777777" w:rsidR="00724452" w:rsidRPr="006A617C" w:rsidRDefault="00724452" w:rsidP="00724452">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În acest context, considerăm necesar ca </w:t>
            </w:r>
            <w:r>
              <w:rPr>
                <w:rFonts w:ascii="Times New Roman" w:hAnsi="Times New Roman" w:cs="Times New Roman"/>
                <w:i/>
                <w:iCs/>
                <w:sz w:val="20"/>
                <w:szCs w:val="20"/>
                <w:lang w:val="ro-RO"/>
              </w:rPr>
              <w:t xml:space="preserve">proiectul Legii privind piețele instrumentelor financiare și activitățile de investiții </w:t>
            </w:r>
            <w:r>
              <w:rPr>
                <w:rFonts w:ascii="Times New Roman" w:hAnsi="Times New Roman" w:cs="Times New Roman"/>
                <w:sz w:val="20"/>
                <w:szCs w:val="20"/>
                <w:lang w:val="ro-RO"/>
              </w:rPr>
              <w:t>să evite consacrarea unor definiții sau mecanisme susceptibile să intre ulterior în contradicție cu noul cadru normativ național privind beneficiarul efectiv, transparența structurilor de proprietate și cooperarea interinstituțională în domeniul prevenirii și combaterii spălării banilor și finanțării terorismului.</w:t>
            </w:r>
          </w:p>
          <w:p w14:paraId="22C2CA7A" w14:textId="77777777" w:rsidR="00724452" w:rsidRDefault="00724452" w:rsidP="00724452">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Prin urmare, pentru asigurarea coerenței normative și aplicării uniforme a cadrului legal, se propune clarificarea raportului dintre definiția sectorială a beneficiarului efectiv și definiția generală consacrată de legislația specială.</w:t>
            </w:r>
          </w:p>
        </w:tc>
        <w:tc>
          <w:tcPr>
            <w:tcW w:w="1273" w:type="pct"/>
            <w:tcMar>
              <w:top w:w="24" w:type="dxa"/>
              <w:left w:w="48" w:type="dxa"/>
              <w:bottom w:w="24" w:type="dxa"/>
              <w:right w:w="48" w:type="dxa"/>
            </w:tcMar>
            <w:vAlign w:val="center"/>
          </w:tcPr>
          <w:p w14:paraId="25DE76AD" w14:textId="77777777" w:rsidR="00724452" w:rsidRPr="00D778ED" w:rsidRDefault="00724452" w:rsidP="0072445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Se acceptă</w:t>
            </w:r>
          </w:p>
          <w:p w14:paraId="627B81D8" w14:textId="77777777" w:rsidR="00724452" w:rsidRDefault="00724452" w:rsidP="00724452">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Au fost operate modificări: definiția beneficiarului efectiv va fi redată prin trimitere la art.5² din Legea nr.308/2017 cu privire la prevenirea și combaterea spălării banilor și finanțării terorismului, inclusiv pentru a asigura coerența cu viitorul cadru normativ național.</w:t>
            </w:r>
          </w:p>
        </w:tc>
      </w:tr>
      <w:tr w:rsidR="00E93FB5" w:rsidRPr="00104D47" w14:paraId="62C44218" w14:textId="77777777" w:rsidTr="000B07F2">
        <w:trPr>
          <w:jc w:val="center"/>
        </w:trPr>
        <w:tc>
          <w:tcPr>
            <w:tcW w:w="1197" w:type="pct"/>
            <w:tcMar>
              <w:top w:w="24" w:type="dxa"/>
              <w:left w:w="48" w:type="dxa"/>
              <w:bottom w:w="24" w:type="dxa"/>
              <w:right w:w="48" w:type="dxa"/>
            </w:tcMar>
            <w:vAlign w:val="center"/>
          </w:tcPr>
          <w:p w14:paraId="72E873E6" w14:textId="77777777" w:rsidR="00E93FB5" w:rsidRDefault="00E93FB5" w:rsidP="00E93FB5">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4. Noțiuni principale</w:t>
            </w:r>
          </w:p>
          <w:p w14:paraId="5AB344C0" w14:textId="77777777" w:rsidR="00E93FB5" w:rsidRPr="00174652" w:rsidRDefault="00E93FB5" w:rsidP="00E93FB5">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2A615FE1" w14:textId="77777777" w:rsidR="00E93FB5" w:rsidRPr="00174652" w:rsidRDefault="00E93FB5" w:rsidP="00E93FB5">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
                <w:iCs/>
                <w:sz w:val="20"/>
                <w:szCs w:val="20"/>
                <w:lang w:val="ro-RO" w:eastAsia="ro-RO"/>
              </w:rPr>
              <w:t>22)</w:t>
            </w:r>
            <w:r>
              <w:rPr>
                <w:rFonts w:ascii="Times New Roman" w:eastAsia="Times New Roman" w:hAnsi="Times New Roman" w:cs="Times New Roman"/>
                <w:bCs/>
                <w:iCs/>
                <w:sz w:val="20"/>
                <w:szCs w:val="20"/>
                <w:lang w:val="ro-RO" w:eastAsia="ro-RO"/>
              </w:rPr>
              <w:t xml:space="preserve"> </w:t>
            </w:r>
            <w:r>
              <w:rPr>
                <w:rFonts w:ascii="Times New Roman" w:eastAsia="Times New Roman" w:hAnsi="Times New Roman" w:cs="Times New Roman"/>
                <w:bCs/>
                <w:i/>
                <w:sz w:val="20"/>
                <w:szCs w:val="20"/>
                <w:lang w:val="ro-RO" w:eastAsia="ro-RO"/>
              </w:rPr>
              <w:t>depozit structurat</w:t>
            </w:r>
            <w:r>
              <w:rPr>
                <w:rFonts w:ascii="Times New Roman" w:eastAsia="Times New Roman" w:hAnsi="Times New Roman" w:cs="Times New Roman"/>
                <w:bCs/>
                <w:iCs/>
                <w:sz w:val="20"/>
                <w:szCs w:val="20"/>
                <w:lang w:val="ro-RO" w:eastAsia="ro-RO"/>
              </w:rPr>
              <w:t xml:space="preserve"> – depozit, în sensul definit în Legea nr.160/2023 cu privire la garantarea depozitelor în bănci, care este rambursabil integral la scadenţă în baza unor condiţii potrivit cărora o dobândă sau o primă va fi plătită sau este supusă riscului, conform unei formule care implică factori, precum: </w:t>
            </w:r>
          </w:p>
          <w:p w14:paraId="74A80451" w14:textId="77777777" w:rsidR="00E93FB5" w:rsidRPr="00C71263" w:rsidRDefault="00E93FB5" w:rsidP="00E93FB5">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Cs/>
                <w:iCs/>
                <w:sz w:val="20"/>
                <w:szCs w:val="20"/>
                <w:lang w:val="ro-RO" w:eastAsia="ro-RO"/>
              </w:rPr>
              <w:t>a) un indice sau o combinaţie de indici, excluzând depozitele cu rată variabilă a căror rentabilitate este direct legată de un indice al ratei dobânzii, precum Euribor sau Libor;</w:t>
            </w:r>
          </w:p>
        </w:tc>
        <w:tc>
          <w:tcPr>
            <w:tcW w:w="599" w:type="pct"/>
            <w:tcMar>
              <w:top w:w="24" w:type="dxa"/>
              <w:left w:w="48" w:type="dxa"/>
              <w:bottom w:w="24" w:type="dxa"/>
              <w:right w:w="48" w:type="dxa"/>
            </w:tcMar>
            <w:vAlign w:val="center"/>
          </w:tcPr>
          <w:p w14:paraId="6CBA7F80" w14:textId="77777777" w:rsidR="00E93FB5" w:rsidRDefault="00E93FB5" w:rsidP="00E93FB5">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49BA36E1"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07D82671"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0A476238" w14:textId="77777777" w:rsidR="00577530" w:rsidRPr="00724452" w:rsidRDefault="00577530" w:rsidP="00E93FB5">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6F8FB56A" w14:textId="77777777" w:rsidR="00E93FB5" w:rsidRDefault="00E93FB5" w:rsidP="00E93FB5">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5</w:t>
            </w:r>
          </w:p>
        </w:tc>
        <w:tc>
          <w:tcPr>
            <w:tcW w:w="1747" w:type="pct"/>
            <w:tcMar>
              <w:top w:w="24" w:type="dxa"/>
              <w:left w:w="48" w:type="dxa"/>
              <w:bottom w:w="24" w:type="dxa"/>
              <w:right w:w="48" w:type="dxa"/>
            </w:tcMar>
            <w:vAlign w:val="center"/>
          </w:tcPr>
          <w:p w14:paraId="772F90C0" w14:textId="77777777" w:rsidR="00E93FB5" w:rsidRPr="00DA1DE6" w:rsidRDefault="00E93FB5" w:rsidP="00E93FB5">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Art. 4 alin. (1) din proiect: </w:t>
            </w:r>
          </w:p>
          <w:p w14:paraId="76D10FA8" w14:textId="77777777" w:rsidR="00E93FB5" w:rsidRDefault="00E93FB5" w:rsidP="00E93FB5">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 la pct. 22) lit. a), se propune excluderea sintagmei „sau LIBOR”, având în vedere încetarea utilizării acestui indice, asigurând substituirea acestuia cu ratele de referință alternative, precum SOFR (USD), SONIA (GBP).</w:t>
            </w:r>
          </w:p>
        </w:tc>
        <w:tc>
          <w:tcPr>
            <w:tcW w:w="1273" w:type="pct"/>
            <w:tcMar>
              <w:top w:w="24" w:type="dxa"/>
              <w:left w:w="48" w:type="dxa"/>
              <w:bottom w:w="24" w:type="dxa"/>
              <w:right w:w="48" w:type="dxa"/>
            </w:tcMar>
            <w:vAlign w:val="center"/>
          </w:tcPr>
          <w:p w14:paraId="4D528E40" w14:textId="77777777" w:rsidR="00E93FB5" w:rsidRPr="00D778ED" w:rsidRDefault="00E93FB5" w:rsidP="00E93FB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Se acceptă</w:t>
            </w:r>
          </w:p>
          <w:p w14:paraId="73280E94" w14:textId="77777777" w:rsidR="00E93FB5" w:rsidRDefault="00E93FB5" w:rsidP="00E93FB5">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Au fost operate modificări la art.4 alin.(1) pct.22) lit.a): a fost exclusă sintagma „sau Libor”</w:t>
            </w:r>
          </w:p>
        </w:tc>
      </w:tr>
      <w:tr w:rsidR="00E93FB5" w:rsidRPr="00104D47" w14:paraId="0A1A96CD" w14:textId="77777777" w:rsidTr="000B07F2">
        <w:trPr>
          <w:jc w:val="center"/>
        </w:trPr>
        <w:tc>
          <w:tcPr>
            <w:tcW w:w="1197" w:type="pct"/>
            <w:tcMar>
              <w:top w:w="24" w:type="dxa"/>
              <w:left w:w="48" w:type="dxa"/>
              <w:bottom w:w="24" w:type="dxa"/>
              <w:right w:w="48" w:type="dxa"/>
            </w:tcMar>
            <w:vAlign w:val="center"/>
          </w:tcPr>
          <w:p w14:paraId="1E287627" w14:textId="77777777" w:rsidR="00E93FB5" w:rsidRPr="00174652" w:rsidRDefault="00E93FB5" w:rsidP="00E93FB5">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11496B12" w14:textId="77777777" w:rsidR="00E93FB5" w:rsidRPr="004043BB" w:rsidRDefault="00E93FB5" w:rsidP="00E93FB5">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
                <w:iCs/>
                <w:sz w:val="20"/>
                <w:szCs w:val="20"/>
                <w:lang w:val="ro-RO" w:eastAsia="ro-RO"/>
              </w:rPr>
              <w:t>38)</w:t>
            </w:r>
            <w:r>
              <w:rPr>
                <w:rFonts w:ascii="Times New Roman" w:eastAsia="Times New Roman" w:hAnsi="Times New Roman" w:cs="Times New Roman"/>
                <w:bCs/>
                <w:iCs/>
                <w:sz w:val="20"/>
                <w:szCs w:val="20"/>
                <w:lang w:val="ro-RO" w:eastAsia="ro-RO"/>
              </w:rPr>
              <w:t xml:space="preserve"> </w:t>
            </w:r>
            <w:r>
              <w:rPr>
                <w:rFonts w:ascii="Times New Roman" w:eastAsia="Times New Roman" w:hAnsi="Times New Roman" w:cs="Times New Roman"/>
                <w:bCs/>
                <w:i/>
                <w:sz w:val="20"/>
                <w:szCs w:val="20"/>
                <w:lang w:val="ro-RO" w:eastAsia="ro-RO"/>
              </w:rPr>
              <w:t>instituție de credit</w:t>
            </w:r>
            <w:r>
              <w:rPr>
                <w:rFonts w:ascii="Times New Roman" w:eastAsia="Times New Roman" w:hAnsi="Times New Roman" w:cs="Times New Roman"/>
                <w:bCs/>
                <w:iCs/>
                <w:sz w:val="20"/>
                <w:szCs w:val="20"/>
                <w:lang w:val="ro-RO" w:eastAsia="ro-RO"/>
              </w:rPr>
              <w:t xml:space="preserve"> – oricare dintre următoarele:</w:t>
            </w:r>
          </w:p>
          <w:p w14:paraId="489D4E28" w14:textId="77777777" w:rsidR="00E93FB5" w:rsidRPr="00C71263" w:rsidRDefault="00E93FB5" w:rsidP="00E93FB5">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Cs/>
                <w:iCs/>
                <w:sz w:val="20"/>
                <w:szCs w:val="20"/>
                <w:lang w:val="ro-RO" w:eastAsia="ro-RO"/>
              </w:rPr>
              <w:t xml:space="preserve">a) o bancă supravegheată în temeiul Legii nr.202/2017 privind activitatea băncilor, denumită în continuare </w:t>
            </w:r>
            <w:r>
              <w:rPr>
                <w:rFonts w:ascii="Times New Roman" w:eastAsia="Times New Roman" w:hAnsi="Times New Roman" w:cs="Times New Roman"/>
                <w:bCs/>
                <w:i/>
                <w:sz w:val="20"/>
                <w:szCs w:val="20"/>
                <w:lang w:val="ro-RO" w:eastAsia="ro-RO"/>
              </w:rPr>
              <w:t>instituție de credit din Republica Moldova</w:t>
            </w:r>
            <w:r>
              <w:rPr>
                <w:rFonts w:ascii="Times New Roman" w:eastAsia="Times New Roman" w:hAnsi="Times New Roman" w:cs="Times New Roman"/>
                <w:bCs/>
                <w:iCs/>
                <w:sz w:val="20"/>
                <w:szCs w:val="20"/>
                <w:lang w:val="ro-RO" w:eastAsia="ro-RO"/>
              </w:rPr>
              <w:t>;</w:t>
            </w:r>
          </w:p>
        </w:tc>
        <w:tc>
          <w:tcPr>
            <w:tcW w:w="599" w:type="pct"/>
            <w:tcMar>
              <w:top w:w="24" w:type="dxa"/>
              <w:left w:w="48" w:type="dxa"/>
              <w:bottom w:w="24" w:type="dxa"/>
              <w:right w:w="48" w:type="dxa"/>
            </w:tcMar>
            <w:vAlign w:val="center"/>
          </w:tcPr>
          <w:p w14:paraId="55CC2C59" w14:textId="77777777" w:rsidR="00E93FB5" w:rsidRDefault="00E93FB5" w:rsidP="00E93FB5">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14CE27AE"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43D4ED6A"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5AA4E5FB" w14:textId="77777777" w:rsidR="00577530" w:rsidRPr="00724452" w:rsidRDefault="00577530" w:rsidP="00E93FB5">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0317AC4C" w14:textId="77777777" w:rsidR="00E93FB5" w:rsidRDefault="00E93FB5" w:rsidP="00E93FB5">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6</w:t>
            </w:r>
          </w:p>
        </w:tc>
        <w:tc>
          <w:tcPr>
            <w:tcW w:w="1747" w:type="pct"/>
            <w:tcMar>
              <w:top w:w="24" w:type="dxa"/>
              <w:left w:w="48" w:type="dxa"/>
              <w:bottom w:w="24" w:type="dxa"/>
              <w:right w:w="48" w:type="dxa"/>
            </w:tcMar>
            <w:vAlign w:val="center"/>
          </w:tcPr>
          <w:p w14:paraId="3E39987B" w14:textId="77777777" w:rsidR="00E93FB5" w:rsidRPr="004043BB" w:rsidRDefault="00E93FB5" w:rsidP="00E93FB5">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Art. 4 alin. (1) din proiect: </w:t>
            </w:r>
          </w:p>
          <w:p w14:paraId="429B7B5B" w14:textId="77777777" w:rsidR="00E93FB5" w:rsidRDefault="00E93FB5" w:rsidP="00E93FB5">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 la pct. 38), se recomandă ajustarea terminologiei la cea utilizată în actele Uniunii Europene, prin substituirea cuvintelor „bancă”, la orice formă gramaticală, cu cuvintele „instituție de credit”, la forma gramaticală corespunzătoare;</w:t>
            </w:r>
          </w:p>
        </w:tc>
        <w:tc>
          <w:tcPr>
            <w:tcW w:w="1273" w:type="pct"/>
            <w:tcMar>
              <w:top w:w="24" w:type="dxa"/>
              <w:left w:w="48" w:type="dxa"/>
              <w:bottom w:w="24" w:type="dxa"/>
              <w:right w:w="48" w:type="dxa"/>
            </w:tcMar>
            <w:vAlign w:val="center"/>
          </w:tcPr>
          <w:p w14:paraId="61D82647" w14:textId="77777777" w:rsidR="00E93FB5" w:rsidRPr="004043BB" w:rsidRDefault="00E93FB5" w:rsidP="00E93FB5">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Se acceptă </w:t>
            </w:r>
          </w:p>
          <w:p w14:paraId="3C4151ED" w14:textId="77777777" w:rsidR="00E93FB5" w:rsidRPr="004043BB" w:rsidRDefault="00E93FB5" w:rsidP="00E93FB5">
            <w:pPr>
              <w:spacing w:after="0" w:line="240" w:lineRule="auto"/>
              <w:jc w:val="both"/>
              <w:rPr>
                <w:rFonts w:ascii="Times New Roman" w:eastAsia="Times New Roman" w:hAnsi="Times New Roman" w:cs="Times New Roman"/>
                <w:sz w:val="20"/>
                <w:szCs w:val="20"/>
                <w:lang w:val="ro-RO" w:eastAsia="ro-RO"/>
              </w:rPr>
            </w:pPr>
            <w:r>
              <w:rPr>
                <w:rFonts w:ascii="Times New Roman" w:hAnsi="Times New Roman" w:cs="Times New Roman"/>
                <w:sz w:val="20"/>
                <w:szCs w:val="20"/>
              </w:rPr>
              <w:t xml:space="preserve">Au fost operate modificări la art.4 alin.(1) pct.38) lit.a): </w:t>
            </w:r>
          </w:p>
          <w:p w14:paraId="30F0CCA9" w14:textId="77777777" w:rsidR="00E93FB5" w:rsidRPr="004043BB" w:rsidRDefault="00E93FB5" w:rsidP="00E93FB5">
            <w:pPr>
              <w:spacing w:after="0" w:line="240" w:lineRule="auto"/>
              <w:ind w:left="-6"/>
              <w:rPr>
                <w:rFonts w:ascii="Times New Roman" w:hAnsi="Times New Roman" w:cs="Times New Roman"/>
                <w:noProof/>
                <w:sz w:val="20"/>
                <w:szCs w:val="20"/>
                <w:lang w:val="ro-RO"/>
              </w:rPr>
            </w:pPr>
            <w:r>
              <w:rPr>
                <w:rFonts w:ascii="Times New Roman" w:eastAsia="Times New Roman" w:hAnsi="Times New Roman" w:cs="Times New Roman"/>
                <w:sz w:val="20"/>
                <w:szCs w:val="20"/>
                <w:lang w:val="ro-RO" w:eastAsia="ro-RO"/>
              </w:rPr>
              <w:t>„</w:t>
            </w:r>
            <w:r>
              <w:rPr>
                <w:rFonts w:ascii="Times New Roman" w:eastAsia="Times New Roman" w:hAnsi="Times New Roman" w:cs="Times New Roman"/>
                <w:b/>
                <w:bCs/>
                <w:sz w:val="20"/>
                <w:szCs w:val="20"/>
                <w:lang w:val="ro-RO" w:eastAsia="ro-RO"/>
              </w:rPr>
              <w:t>38</w:t>
            </w:r>
            <w:r>
              <w:rPr>
                <w:rFonts w:ascii="Times New Roman" w:hAnsi="Times New Roman" w:cs="Times New Roman"/>
                <w:b/>
                <w:bCs/>
                <w:iCs/>
                <w:sz w:val="20"/>
                <w:szCs w:val="20"/>
                <w:lang w:val="ro-RO"/>
              </w:rPr>
              <w:t>)</w:t>
            </w:r>
            <w:r>
              <w:rPr>
                <w:rFonts w:ascii="Times New Roman" w:hAnsi="Times New Roman" w:cs="Times New Roman"/>
                <w:i/>
                <w:iCs/>
                <w:sz w:val="20"/>
                <w:szCs w:val="20"/>
                <w:lang w:val="ro-RO"/>
              </w:rPr>
              <w:t xml:space="preserve"> </w:t>
            </w:r>
            <w:r>
              <w:rPr>
                <w:rFonts w:ascii="Times New Roman" w:hAnsi="Times New Roman" w:cs="Times New Roman"/>
                <w:i/>
                <w:noProof/>
                <w:sz w:val="20"/>
                <w:szCs w:val="20"/>
                <w:lang w:val="ro-RO"/>
              </w:rPr>
              <w:t>instituție de credit</w:t>
            </w:r>
            <w:r>
              <w:rPr>
                <w:rFonts w:ascii="Times New Roman" w:hAnsi="Times New Roman" w:cs="Times New Roman"/>
                <w:noProof/>
                <w:sz w:val="20"/>
                <w:szCs w:val="20"/>
                <w:lang w:val="ro-RO"/>
              </w:rPr>
              <w:t xml:space="preserve"> – oricare dintre următoarele:</w:t>
            </w:r>
          </w:p>
          <w:p w14:paraId="20E847E3" w14:textId="77777777" w:rsidR="00E93FB5" w:rsidRDefault="00E93FB5" w:rsidP="00E93FB5">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lang w:val="ro-RO"/>
              </w:rPr>
              <w:t xml:space="preserve">a) o instituție de credit supravegheată în temeiul Legii nr.202/2017 privind activitatea băncilor, denumită în continuare </w:t>
            </w:r>
            <w:r>
              <w:rPr>
                <w:rFonts w:ascii="Times New Roman" w:hAnsi="Times New Roman" w:cs="Times New Roman"/>
                <w:i/>
                <w:iCs/>
                <w:sz w:val="20"/>
                <w:szCs w:val="20"/>
                <w:lang w:val="ro-RO"/>
              </w:rPr>
              <w:t>instituție de credit din Republica Moldova</w:t>
            </w:r>
            <w:r>
              <w:rPr>
                <w:rFonts w:ascii="Times New Roman" w:hAnsi="Times New Roman" w:cs="Times New Roman"/>
                <w:sz w:val="20"/>
                <w:szCs w:val="20"/>
                <w:lang w:val="ro-RO"/>
              </w:rPr>
              <w:t>;”</w:t>
            </w:r>
          </w:p>
        </w:tc>
      </w:tr>
      <w:tr w:rsidR="00C9452A" w:rsidRPr="00104D47" w14:paraId="639AF145" w14:textId="77777777" w:rsidTr="000B07F2">
        <w:trPr>
          <w:jc w:val="center"/>
        </w:trPr>
        <w:tc>
          <w:tcPr>
            <w:tcW w:w="1197" w:type="pct"/>
            <w:vMerge w:val="restart"/>
            <w:tcMar>
              <w:top w:w="24" w:type="dxa"/>
              <w:left w:w="48" w:type="dxa"/>
              <w:bottom w:w="24" w:type="dxa"/>
              <w:right w:w="48" w:type="dxa"/>
            </w:tcMar>
            <w:vAlign w:val="center"/>
          </w:tcPr>
          <w:p w14:paraId="3917E6F4" w14:textId="77777777" w:rsidR="00C9452A" w:rsidRDefault="00C9452A" w:rsidP="00C9452A">
            <w:pPr>
              <w:spacing w:after="0" w:line="240" w:lineRule="auto"/>
              <w:jc w:val="both"/>
              <w:rPr>
                <w:rFonts w:ascii="Times New Roman" w:eastAsia="Times New Roman" w:hAnsi="Times New Roman" w:cs="Times New Roman"/>
                <w:b/>
                <w:iCs/>
                <w:sz w:val="20"/>
                <w:szCs w:val="20"/>
                <w:lang w:val="ro-RO" w:eastAsia="ro-RO"/>
              </w:rPr>
            </w:pPr>
          </w:p>
          <w:p w14:paraId="6503E61F" w14:textId="77777777" w:rsidR="00C9452A" w:rsidRDefault="00C9452A" w:rsidP="00C9452A">
            <w:pPr>
              <w:spacing w:after="0" w:line="240" w:lineRule="auto"/>
              <w:jc w:val="both"/>
              <w:rPr>
                <w:rFonts w:ascii="Times New Roman" w:eastAsia="Times New Roman" w:hAnsi="Times New Roman" w:cs="Times New Roman"/>
                <w:b/>
                <w:iCs/>
                <w:sz w:val="20"/>
                <w:szCs w:val="20"/>
                <w:lang w:val="ro-RO" w:eastAsia="ro-RO"/>
              </w:rPr>
            </w:pPr>
          </w:p>
          <w:p w14:paraId="61A0180A" w14:textId="77777777" w:rsidR="00C9452A" w:rsidRDefault="00C9452A" w:rsidP="00C9452A">
            <w:pPr>
              <w:spacing w:after="0" w:line="240" w:lineRule="auto"/>
              <w:jc w:val="both"/>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4. Noțiuni principale</w:t>
            </w:r>
          </w:p>
          <w:p w14:paraId="55C71D3C" w14:textId="77777777" w:rsidR="00C9452A" w:rsidRPr="00174652" w:rsidRDefault="00C9452A" w:rsidP="00C9452A">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52B96C53" w14:textId="77777777" w:rsidR="00C9452A" w:rsidRPr="00C71263" w:rsidRDefault="00C9452A" w:rsidP="00C9452A">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 xml:space="preserve">43) </w:t>
            </w:r>
            <w:r>
              <w:rPr>
                <w:rFonts w:ascii="Times New Roman" w:eastAsia="Times New Roman" w:hAnsi="Times New Roman" w:cs="Times New Roman"/>
                <w:bCs/>
                <w:i/>
                <w:sz w:val="20"/>
                <w:szCs w:val="20"/>
                <w:lang w:val="ro-RO" w:eastAsia="ro-RO"/>
              </w:rPr>
              <w:t>întreprinderi mici şi mijlocii sau IMM-uri</w:t>
            </w:r>
            <w:r>
              <w:rPr>
                <w:rFonts w:ascii="Times New Roman" w:eastAsia="Times New Roman" w:hAnsi="Times New Roman" w:cs="Times New Roman"/>
                <w:b/>
                <w:iCs/>
                <w:sz w:val="20"/>
                <w:szCs w:val="20"/>
                <w:lang w:val="ro-RO" w:eastAsia="ro-RO"/>
              </w:rPr>
              <w:t xml:space="preserve"> – </w:t>
            </w:r>
            <w:r>
              <w:rPr>
                <w:rFonts w:ascii="Times New Roman" w:eastAsia="Times New Roman" w:hAnsi="Times New Roman" w:cs="Times New Roman"/>
                <w:bCs/>
                <w:iCs/>
                <w:sz w:val="20"/>
                <w:szCs w:val="20"/>
                <w:lang w:val="ro-RO" w:eastAsia="ro-RO"/>
              </w:rPr>
              <w:t xml:space="preserve">societăţile a căror capitalizare bursieră, pe baza cotaţiilor de sfârşit de an din ultimii </w:t>
            </w:r>
            <w:r>
              <w:rPr>
                <w:rFonts w:ascii="Times New Roman" w:eastAsia="Times New Roman" w:hAnsi="Times New Roman" w:cs="Times New Roman"/>
                <w:bCs/>
                <w:iCs/>
                <w:sz w:val="20"/>
                <w:szCs w:val="20"/>
                <w:lang w:val="ro-RO" w:eastAsia="ro-RO"/>
              </w:rPr>
              <w:lastRenderedPageBreak/>
              <w:t>3 ani calendaristici, a fost mai mică decât echivalentul în lei moldovenești a 200 milioane euro. Cursul de schimb avut în vedere la stabilirea echivalentului în lei moldovenești al sumei de 200 milioane euro este cel valabil pentru data de 31 decembrie a fiecărui an din ultimii 3 ani calendaristici</w:t>
            </w:r>
            <w:r>
              <w:rPr>
                <w:rFonts w:ascii="Times New Roman" w:eastAsia="Times New Roman" w:hAnsi="Times New Roman" w:cs="Times New Roman"/>
                <w:b/>
                <w:iCs/>
                <w:sz w:val="20"/>
                <w:szCs w:val="20"/>
                <w:lang w:val="ro-RO" w:eastAsia="ro-RO"/>
              </w:rPr>
              <w:t>;</w:t>
            </w:r>
          </w:p>
        </w:tc>
        <w:tc>
          <w:tcPr>
            <w:tcW w:w="599" w:type="pct"/>
            <w:tcMar>
              <w:top w:w="24" w:type="dxa"/>
              <w:left w:w="48" w:type="dxa"/>
              <w:bottom w:w="24" w:type="dxa"/>
              <w:right w:w="48" w:type="dxa"/>
            </w:tcMar>
            <w:vAlign w:val="center"/>
          </w:tcPr>
          <w:p w14:paraId="2E7D8AB7" w14:textId="77777777" w:rsidR="00C9452A" w:rsidRDefault="00C9452A" w:rsidP="00C9452A">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BNM</w:t>
            </w:r>
          </w:p>
          <w:p w14:paraId="213F4ACD"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1425566B"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77710655" w14:textId="77777777" w:rsidR="00577530" w:rsidRPr="00724452" w:rsidRDefault="00577530" w:rsidP="00C9452A">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460CE550" w14:textId="77777777" w:rsidR="00C9452A" w:rsidRDefault="00C9452A" w:rsidP="00C9452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7</w:t>
            </w:r>
          </w:p>
          <w:p w14:paraId="77C60068" w14:textId="77777777" w:rsidR="00C9452A" w:rsidRDefault="00C9452A" w:rsidP="00C9452A">
            <w:pPr>
              <w:spacing w:after="0" w:line="240" w:lineRule="auto"/>
              <w:jc w:val="center"/>
              <w:rPr>
                <w:rFonts w:ascii="Times New Roman" w:eastAsia="Times New Roman" w:hAnsi="Times New Roman" w:cs="Times New Roman"/>
                <w:b/>
                <w:bCs/>
                <w:sz w:val="20"/>
                <w:szCs w:val="20"/>
                <w:lang w:eastAsia="ro-RO"/>
              </w:rPr>
            </w:pPr>
          </w:p>
        </w:tc>
        <w:tc>
          <w:tcPr>
            <w:tcW w:w="1747" w:type="pct"/>
            <w:tcMar>
              <w:top w:w="24" w:type="dxa"/>
              <w:left w:w="48" w:type="dxa"/>
              <w:bottom w:w="24" w:type="dxa"/>
              <w:right w:w="48" w:type="dxa"/>
            </w:tcMar>
            <w:vAlign w:val="center"/>
          </w:tcPr>
          <w:p w14:paraId="020A8787" w14:textId="77777777" w:rsidR="00C9452A" w:rsidRPr="004E383E" w:rsidRDefault="00C9452A" w:rsidP="00C9452A">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Art. 4 alin. (1) din proiect: </w:t>
            </w:r>
          </w:p>
          <w:p w14:paraId="68FDEF54" w14:textId="77777777" w:rsidR="00C9452A" w:rsidRDefault="00C9452A" w:rsidP="00C9452A">
            <w:pPr>
              <w:spacing w:after="0" w:line="240" w:lineRule="auto"/>
              <w:jc w:val="both"/>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la pct. 43), observăm că redacția noțiunii „întreprinderi mici și mijlocii sau IMM-uri” diferă de noțiunea specificată la art. 4 alin. (1) din Legea nr. 179/2016 cu privire la întreprinderile mici și mijlocii, respectiv, se recomandă revizuirea noțiunii din proiect;</w:t>
            </w:r>
          </w:p>
          <w:p w14:paraId="70D34694" w14:textId="77777777" w:rsidR="00C9452A" w:rsidRDefault="00C9452A" w:rsidP="00C9452A">
            <w:pPr>
              <w:autoSpaceDE w:val="0"/>
              <w:autoSpaceDN w:val="0"/>
              <w:adjustRightInd w:val="0"/>
              <w:spacing w:after="0" w:line="240" w:lineRule="auto"/>
              <w:ind w:right="98"/>
              <w:jc w:val="both"/>
              <w:rPr>
                <w:rFonts w:ascii="Times New Roman" w:hAnsi="Times New Roman" w:cs="Times New Roman"/>
                <w:sz w:val="20"/>
                <w:szCs w:val="20"/>
                <w:lang w:val="ro-RO"/>
              </w:rPr>
            </w:pPr>
          </w:p>
        </w:tc>
        <w:tc>
          <w:tcPr>
            <w:tcW w:w="1273" w:type="pct"/>
            <w:vMerge w:val="restart"/>
            <w:tcMar>
              <w:top w:w="24" w:type="dxa"/>
              <w:left w:w="48" w:type="dxa"/>
              <w:bottom w:w="24" w:type="dxa"/>
              <w:right w:w="48" w:type="dxa"/>
            </w:tcMar>
            <w:vAlign w:val="center"/>
          </w:tcPr>
          <w:p w14:paraId="74477D2B" w14:textId="77777777" w:rsidR="00C9452A" w:rsidRPr="00B9287E" w:rsidRDefault="00C9452A" w:rsidP="00C9452A">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Nu se acceptă </w:t>
            </w:r>
          </w:p>
          <w:p w14:paraId="7599DFEA" w14:textId="77777777" w:rsidR="00C9452A" w:rsidRDefault="00C9452A" w:rsidP="00C9452A">
            <w:pPr>
              <w:spacing w:after="0" w:line="240" w:lineRule="auto"/>
              <w:jc w:val="both"/>
              <w:rPr>
                <w:rFonts w:ascii="Times New Roman" w:eastAsia="Times New Roman" w:hAnsi="Times New Roman" w:cs="Times New Roman"/>
                <w:iCs/>
                <w:sz w:val="20"/>
                <w:szCs w:val="20"/>
                <w:lang w:val="ro-RO" w:eastAsia="ro-RO"/>
              </w:rPr>
            </w:pPr>
            <w:r>
              <w:rPr>
                <w:rFonts w:ascii="Times New Roman" w:eastAsia="Times New Roman" w:hAnsi="Times New Roman" w:cs="Times New Roman"/>
                <w:sz w:val="20"/>
                <w:szCs w:val="20"/>
                <w:lang w:val="ro-RO" w:eastAsia="ro-RO"/>
              </w:rPr>
              <w:t xml:space="preserve">În proiectul de lege definiția de </w:t>
            </w:r>
            <w:r>
              <w:rPr>
                <w:rFonts w:ascii="Times New Roman" w:eastAsia="Times New Roman" w:hAnsi="Times New Roman" w:cs="Times New Roman"/>
                <w:i/>
                <w:sz w:val="20"/>
                <w:szCs w:val="20"/>
                <w:lang w:val="ro-RO" w:eastAsia="ro-RO"/>
              </w:rPr>
              <w:t>„întreprinderi mici și mijlocii sau IMM-uri”</w:t>
            </w:r>
            <w:r>
              <w:rPr>
                <w:rFonts w:ascii="Times New Roman" w:eastAsia="Times New Roman" w:hAnsi="Times New Roman" w:cs="Times New Roman"/>
                <w:iCs/>
                <w:sz w:val="20"/>
                <w:szCs w:val="20"/>
                <w:lang w:val="ro-RO" w:eastAsia="ro-RO"/>
              </w:rPr>
              <w:t>:</w:t>
            </w:r>
          </w:p>
          <w:p w14:paraId="2B30199B" w14:textId="77777777" w:rsidR="00C9452A" w:rsidRDefault="00C9452A" w:rsidP="00C9452A">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iCs/>
                <w:sz w:val="20"/>
                <w:szCs w:val="20"/>
                <w:lang w:val="ro-RO" w:eastAsia="ro-RO"/>
              </w:rPr>
              <w:t>1)</w:t>
            </w:r>
            <w:r>
              <w:rPr>
                <w:rFonts w:ascii="Times New Roman" w:eastAsia="Times New Roman" w:hAnsi="Times New Roman" w:cs="Times New Roman"/>
                <w:sz w:val="20"/>
                <w:szCs w:val="20"/>
                <w:lang w:val="ro-RO" w:eastAsia="ro-RO"/>
              </w:rPr>
              <w:t xml:space="preserve"> este redată în sensul art.4 alin.(1) pct.13) al Directivei 2014/65/UE privind piețele instrumentelor financiare. Respectiv, această definiție nu poate fi revizuită și modificată în contextul </w:t>
            </w:r>
            <w:r>
              <w:rPr>
                <w:rFonts w:ascii="Times New Roman" w:hAnsi="Times New Roman" w:cs="Times New Roman"/>
                <w:color w:val="000000"/>
                <w:sz w:val="20"/>
                <w:szCs w:val="20"/>
                <w:lang w:val="ro-RO"/>
              </w:rPr>
              <w:t xml:space="preserve">Legii nr.179/2016 cu privire la </w:t>
            </w:r>
            <w:r>
              <w:rPr>
                <w:rFonts w:ascii="Times New Roman" w:hAnsi="Times New Roman" w:cs="Times New Roman"/>
                <w:color w:val="000000"/>
                <w:sz w:val="20"/>
                <w:szCs w:val="20"/>
                <w:lang w:val="ro-RO"/>
              </w:rPr>
              <w:lastRenderedPageBreak/>
              <w:t>întreprinderile mici și mijlocii</w:t>
            </w:r>
            <w:r>
              <w:rPr>
                <w:rFonts w:ascii="Times New Roman" w:eastAsia="Times New Roman" w:hAnsi="Times New Roman" w:cs="Times New Roman"/>
                <w:sz w:val="20"/>
                <w:szCs w:val="20"/>
                <w:lang w:val="ro-RO" w:eastAsia="ro-RO"/>
              </w:rPr>
              <w:t>, deoarece potrivit pct.24 din Regulamentului privind armonizarea legislaţiei Republicii Moldova cu legislaţia Uniunii Europene (Hotărârea Guvernului nr.1171/2018) și Metodologiei privind armonizarea legislației Republicii Moldova la legislația Uniunii Europene, toate definițiile, valorile numerice, diferite tipuri de limitări și excepții, etc. trebuie copiate fără devieri din directivă, păstrându-se conţinutul şi structura actului european;</w:t>
            </w:r>
          </w:p>
          <w:p w14:paraId="6F53240D" w14:textId="77777777" w:rsidR="00C9452A" w:rsidRDefault="00C9452A" w:rsidP="00C9452A">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val="ro-RO" w:eastAsia="ro-RO"/>
              </w:rPr>
              <w:t xml:space="preserve">2) definiția utilizează un criteriu specific –  capitalizarea bursieră medie pe ultimii 3 ani calendaristici, sub pragul de 200 milioane euro – relevant exclusiv în contextul piețelor instrumentelor financiare și al regimului </w:t>
            </w:r>
            <w:r>
              <w:rPr>
                <w:rFonts w:ascii="Times New Roman" w:eastAsia="Times New Roman" w:hAnsi="Times New Roman" w:cs="Times New Roman"/>
                <w:i/>
                <w:iCs/>
                <w:sz w:val="20"/>
                <w:szCs w:val="20"/>
                <w:lang w:val="ro-RO" w:eastAsia="ro-RO"/>
              </w:rPr>
              <w:t>piețelor de creștere pentru IMM-uri</w:t>
            </w:r>
            <w:r>
              <w:rPr>
                <w:rFonts w:ascii="Times New Roman" w:eastAsia="Times New Roman" w:hAnsi="Times New Roman" w:cs="Times New Roman"/>
                <w:sz w:val="20"/>
                <w:szCs w:val="20"/>
                <w:lang w:val="ro-RO" w:eastAsia="ro-RO"/>
              </w:rPr>
              <w:t xml:space="preserve"> (art.4 alin.(1) pct.55) din proiect, transpunând art. 33 din Directiva 2014/65/UE).</w:t>
            </w:r>
            <w:r>
              <w:t xml:space="preserve"> </w:t>
            </w:r>
            <w:r>
              <w:rPr>
                <w:rFonts w:ascii="Times New Roman" w:eastAsia="Times New Roman" w:hAnsi="Times New Roman" w:cs="Times New Roman"/>
                <w:sz w:val="20"/>
                <w:szCs w:val="20"/>
                <w:lang w:val="ro-RO" w:eastAsia="ro-RO"/>
              </w:rPr>
              <w:t>Coexistența celor două definiții, fiecare în domeniul său de aplicare, nu va genera un conflict normativ.</w:t>
            </w:r>
          </w:p>
        </w:tc>
      </w:tr>
      <w:tr w:rsidR="00C9452A" w:rsidRPr="00104D47" w14:paraId="01C22B62" w14:textId="77777777" w:rsidTr="000B07F2">
        <w:trPr>
          <w:jc w:val="center"/>
        </w:trPr>
        <w:tc>
          <w:tcPr>
            <w:tcW w:w="1197" w:type="pct"/>
            <w:vMerge/>
            <w:tcMar>
              <w:top w:w="24" w:type="dxa"/>
              <w:left w:w="48" w:type="dxa"/>
              <w:bottom w:w="24" w:type="dxa"/>
              <w:right w:w="48" w:type="dxa"/>
            </w:tcMar>
            <w:vAlign w:val="center"/>
          </w:tcPr>
          <w:p w14:paraId="4A26C94B" w14:textId="77777777" w:rsidR="00C9452A" w:rsidRDefault="00C9452A" w:rsidP="00C9452A">
            <w:pPr>
              <w:spacing w:after="0" w:line="240" w:lineRule="auto"/>
              <w:jc w:val="both"/>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4D052B4C" w14:textId="77777777" w:rsidR="00C9452A" w:rsidRPr="0089598C" w:rsidRDefault="00C9452A" w:rsidP="00C9452A">
            <w:pPr>
              <w:spacing w:after="0" w:line="24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B.C. „Energbank” S.A.</w:t>
            </w:r>
          </w:p>
          <w:p w14:paraId="5A5ACF69" w14:textId="77777777" w:rsidR="00C9452A" w:rsidRPr="00C9452A" w:rsidRDefault="00C9452A" w:rsidP="00C9452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lastRenderedPageBreak/>
              <w:t>(„Energbank”; scrisoare nr.08/04/617 din 15.05.2026)</w:t>
            </w:r>
          </w:p>
        </w:tc>
        <w:tc>
          <w:tcPr>
            <w:tcW w:w="184" w:type="pct"/>
            <w:tcMar>
              <w:top w:w="24" w:type="dxa"/>
              <w:left w:w="48" w:type="dxa"/>
              <w:bottom w:w="24" w:type="dxa"/>
              <w:right w:w="48" w:type="dxa"/>
            </w:tcMar>
            <w:vAlign w:val="center"/>
          </w:tcPr>
          <w:p w14:paraId="68D3CFF3" w14:textId="77777777" w:rsidR="00C9452A" w:rsidRDefault="00577530" w:rsidP="00C9452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8</w:t>
            </w:r>
          </w:p>
        </w:tc>
        <w:tc>
          <w:tcPr>
            <w:tcW w:w="1747" w:type="pct"/>
            <w:tcMar>
              <w:top w:w="24" w:type="dxa"/>
              <w:left w:w="48" w:type="dxa"/>
              <w:bottom w:w="24" w:type="dxa"/>
              <w:right w:w="48" w:type="dxa"/>
            </w:tcMar>
            <w:vAlign w:val="center"/>
          </w:tcPr>
          <w:p w14:paraId="20DD9132" w14:textId="77777777" w:rsidR="00C9452A" w:rsidRDefault="00C9452A" w:rsidP="00C9452A">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sz w:val="20"/>
                <w:szCs w:val="20"/>
              </w:rPr>
              <w:t xml:space="preserve"> </w:t>
            </w:r>
            <w:r>
              <w:rPr>
                <w:rFonts w:ascii="Times New Roman" w:hAnsi="Times New Roman" w:cs="Times New Roman"/>
                <w:bCs/>
                <w:sz w:val="20"/>
                <w:szCs w:val="20"/>
              </w:rPr>
              <w:t>Art. 4 alin.(1) pct.43),</w:t>
            </w:r>
            <w:r>
              <w:rPr>
                <w:rFonts w:ascii="Times New Roman" w:hAnsi="Times New Roman" w:cs="Times New Roman"/>
                <w:b/>
                <w:bCs/>
                <w:sz w:val="20"/>
                <w:szCs w:val="20"/>
              </w:rPr>
              <w:t xml:space="preserve"> s</w:t>
            </w:r>
            <w:r>
              <w:rPr>
                <w:rFonts w:ascii="Times New Roman" w:hAnsi="Times New Roman" w:cs="Times New Roman"/>
                <w:sz w:val="20"/>
                <w:szCs w:val="20"/>
              </w:rPr>
              <w:t xml:space="preserve">e consideră că criteriul propus nu reflectă specificul economic din Republica Moldova. Se recomandă </w:t>
            </w:r>
            <w:r>
              <w:rPr>
                <w:rFonts w:ascii="Times New Roman" w:hAnsi="Times New Roman" w:cs="Times New Roman"/>
                <w:sz w:val="20"/>
                <w:szCs w:val="20"/>
              </w:rPr>
              <w:lastRenderedPageBreak/>
              <w:t>analizarea oportunității utilizării unor criterii adaptate pieței locale sau alinierea cu criteriile prevăzute în Legea contabilității și raportării financiare nr.287/2017.</w:t>
            </w:r>
          </w:p>
        </w:tc>
        <w:tc>
          <w:tcPr>
            <w:tcW w:w="1273" w:type="pct"/>
            <w:vMerge/>
            <w:tcMar>
              <w:top w:w="24" w:type="dxa"/>
              <w:left w:w="48" w:type="dxa"/>
              <w:bottom w:w="24" w:type="dxa"/>
              <w:right w:w="48" w:type="dxa"/>
            </w:tcMar>
            <w:vAlign w:val="center"/>
          </w:tcPr>
          <w:p w14:paraId="6F17DE90" w14:textId="77777777" w:rsidR="00C9452A" w:rsidRDefault="00C9452A" w:rsidP="00C9452A">
            <w:pPr>
              <w:spacing w:after="0" w:line="240" w:lineRule="auto"/>
              <w:jc w:val="both"/>
              <w:rPr>
                <w:rFonts w:ascii="Times New Roman" w:eastAsia="Times New Roman" w:hAnsi="Times New Roman" w:cs="Times New Roman"/>
                <w:b/>
                <w:sz w:val="20"/>
                <w:szCs w:val="20"/>
                <w:lang w:val="ro-RO" w:eastAsia="ro-RO"/>
              </w:rPr>
            </w:pPr>
          </w:p>
        </w:tc>
      </w:tr>
      <w:tr w:rsidR="00C9452A" w:rsidRPr="00104D47" w14:paraId="08864A35" w14:textId="77777777" w:rsidTr="000B07F2">
        <w:trPr>
          <w:trHeight w:val="3987"/>
          <w:jc w:val="center"/>
        </w:trPr>
        <w:tc>
          <w:tcPr>
            <w:tcW w:w="1197" w:type="pct"/>
            <w:vMerge/>
            <w:tcMar>
              <w:top w:w="24" w:type="dxa"/>
              <w:left w:w="48" w:type="dxa"/>
              <w:bottom w:w="24" w:type="dxa"/>
              <w:right w:w="48" w:type="dxa"/>
            </w:tcMar>
            <w:vAlign w:val="center"/>
          </w:tcPr>
          <w:p w14:paraId="110705D4" w14:textId="77777777" w:rsidR="00C9452A" w:rsidRDefault="00C9452A" w:rsidP="00C9452A">
            <w:pPr>
              <w:spacing w:after="0" w:line="240" w:lineRule="auto"/>
              <w:jc w:val="both"/>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55774479" w14:textId="77777777" w:rsidR="00C9452A" w:rsidRDefault="00C9452A" w:rsidP="00C9452A">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Asociația Băncilor din Moldova</w:t>
            </w:r>
          </w:p>
          <w:p w14:paraId="5B8AB81D" w14:textId="77777777" w:rsidR="00C9452A" w:rsidRPr="00C9452A" w:rsidRDefault="00C9452A" w:rsidP="00C9452A">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w:t>
            </w:r>
            <w:r>
              <w:rPr>
                <w:rFonts w:ascii="Times New Roman" w:eastAsia="Times New Roman" w:hAnsi="Times New Roman" w:cs="Times New Roman"/>
                <w:b/>
                <w:bCs/>
                <w:sz w:val="20"/>
                <w:szCs w:val="20"/>
                <w:lang w:eastAsia="ro-RO"/>
              </w:rPr>
              <w:t>ABM</w:t>
            </w:r>
            <w:r>
              <w:rPr>
                <w:rFonts w:ascii="Times New Roman" w:eastAsia="Times New Roman" w:hAnsi="Times New Roman" w:cs="Times New Roman"/>
                <w:sz w:val="20"/>
                <w:szCs w:val="20"/>
                <w:lang w:eastAsia="ro-RO"/>
              </w:rPr>
              <w:t>”</w:t>
            </w:r>
            <w:r w:rsidR="005E0DE0">
              <w:rPr>
                <w:rFonts w:ascii="Times New Roman" w:eastAsia="Times New Roman" w:hAnsi="Times New Roman" w:cs="Times New Roman"/>
                <w:sz w:val="20"/>
                <w:szCs w:val="20"/>
                <w:lang w:eastAsia="ro-RO"/>
              </w:rPr>
              <w:t xml:space="preserve">; </w:t>
            </w: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73C6086C" w14:textId="77777777" w:rsidR="00C9452A" w:rsidRDefault="00577530" w:rsidP="00C9452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9</w:t>
            </w:r>
          </w:p>
        </w:tc>
        <w:tc>
          <w:tcPr>
            <w:tcW w:w="1747" w:type="pct"/>
            <w:tcMar>
              <w:top w:w="24" w:type="dxa"/>
              <w:left w:w="48" w:type="dxa"/>
              <w:bottom w:w="24" w:type="dxa"/>
              <w:right w:w="48" w:type="dxa"/>
            </w:tcMar>
            <w:vAlign w:val="center"/>
          </w:tcPr>
          <w:p w14:paraId="0F3E19EA" w14:textId="77777777" w:rsidR="00C9452A" w:rsidRDefault="00C9452A" w:rsidP="00C9452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Referitor la articolul 4 pct. 43), care definește IMM-ul prin raportare la criteriul capitalizării bursiere sub echivalentul a 200 milioane euro, considerăm că acest criteriu nu reflectă pe deplin specificul economic al Republicii Moldova. În acest sens, recomandăm analizarea oportunității utilizării unor criterii adaptate pieței locale sau, după caz, alinierea cu criteriile prevăzute în Legea contabilității și raportării financiare nr. 287/2017.</w:t>
            </w:r>
          </w:p>
        </w:tc>
        <w:tc>
          <w:tcPr>
            <w:tcW w:w="1273" w:type="pct"/>
            <w:vMerge/>
            <w:tcMar>
              <w:top w:w="24" w:type="dxa"/>
              <w:left w:w="48" w:type="dxa"/>
              <w:bottom w:w="24" w:type="dxa"/>
              <w:right w:w="48" w:type="dxa"/>
            </w:tcMar>
            <w:vAlign w:val="center"/>
          </w:tcPr>
          <w:p w14:paraId="5C74D117" w14:textId="77777777" w:rsidR="00C9452A" w:rsidRDefault="00C9452A" w:rsidP="00C9452A">
            <w:pPr>
              <w:spacing w:after="0" w:line="240" w:lineRule="auto"/>
              <w:jc w:val="both"/>
              <w:rPr>
                <w:rFonts w:ascii="Times New Roman" w:eastAsia="Times New Roman" w:hAnsi="Times New Roman" w:cs="Times New Roman"/>
                <w:b/>
                <w:sz w:val="20"/>
                <w:szCs w:val="20"/>
                <w:lang w:val="ro-RO" w:eastAsia="ro-RO"/>
              </w:rPr>
            </w:pPr>
          </w:p>
        </w:tc>
      </w:tr>
      <w:tr w:rsidR="00DF2DBF" w:rsidRPr="00104D47" w14:paraId="6DC63C4F" w14:textId="77777777" w:rsidTr="000B07F2">
        <w:trPr>
          <w:jc w:val="center"/>
        </w:trPr>
        <w:tc>
          <w:tcPr>
            <w:tcW w:w="1197" w:type="pct"/>
            <w:vMerge w:val="restart"/>
            <w:tcMar>
              <w:top w:w="24" w:type="dxa"/>
              <w:left w:w="48" w:type="dxa"/>
              <w:bottom w:w="24" w:type="dxa"/>
              <w:right w:w="48" w:type="dxa"/>
            </w:tcMar>
            <w:vAlign w:val="center"/>
          </w:tcPr>
          <w:p w14:paraId="22D9877B" w14:textId="77777777" w:rsidR="00DF2DBF" w:rsidRDefault="00DF2DBF" w:rsidP="00F47FDB">
            <w:pPr>
              <w:spacing w:after="0" w:line="240" w:lineRule="auto"/>
              <w:jc w:val="both"/>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4. Noțiuni principale</w:t>
            </w:r>
          </w:p>
          <w:p w14:paraId="0E2F4451" w14:textId="77777777" w:rsidR="00DF2DBF" w:rsidRPr="00174652" w:rsidRDefault="00DF2DBF" w:rsidP="00F47FDB">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465C879B" w14:textId="77777777" w:rsidR="00DF2DBF" w:rsidRPr="00F47FDB" w:rsidRDefault="00DF2DBF" w:rsidP="00F47FDB">
            <w:pPr>
              <w:spacing w:after="0" w:line="240" w:lineRule="auto"/>
              <w:jc w:val="both"/>
              <w:rPr>
                <w:rFonts w:ascii="Times New Roman" w:eastAsia="Times New Roman" w:hAnsi="Times New Roman" w:cs="Times New Roman"/>
                <w:bCs/>
                <w:iCs/>
                <w:sz w:val="20"/>
                <w:szCs w:val="20"/>
                <w:lang w:val="ro-RO" w:eastAsia="ro-RO"/>
              </w:rPr>
            </w:pPr>
            <w:r w:rsidRPr="00F47FDB">
              <w:rPr>
                <w:rFonts w:ascii="Times New Roman" w:eastAsia="Times New Roman" w:hAnsi="Times New Roman" w:cs="Times New Roman"/>
                <w:b/>
                <w:iCs/>
                <w:sz w:val="20"/>
                <w:szCs w:val="20"/>
                <w:lang w:val="ro-RO" w:eastAsia="ro-RO"/>
              </w:rPr>
              <w:t>44)</w:t>
            </w:r>
            <w:r w:rsidRPr="00F47FDB">
              <w:rPr>
                <w:rFonts w:ascii="Times New Roman" w:eastAsia="Times New Roman" w:hAnsi="Times New Roman" w:cs="Times New Roman"/>
                <w:bCs/>
                <w:iCs/>
                <w:sz w:val="20"/>
                <w:szCs w:val="20"/>
                <w:lang w:val="ro-RO" w:eastAsia="ro-RO"/>
              </w:rPr>
              <w:t xml:space="preserve"> </w:t>
            </w:r>
            <w:r w:rsidRPr="00F47FDB">
              <w:rPr>
                <w:rFonts w:ascii="Times New Roman" w:eastAsia="Times New Roman" w:hAnsi="Times New Roman" w:cs="Times New Roman"/>
                <w:bCs/>
                <w:i/>
                <w:sz w:val="20"/>
                <w:szCs w:val="20"/>
                <w:lang w:val="ro-RO" w:eastAsia="ro-RO"/>
              </w:rPr>
              <w:t>legături strânse</w:t>
            </w:r>
            <w:r w:rsidRPr="00F47FDB">
              <w:rPr>
                <w:rFonts w:ascii="Times New Roman" w:eastAsia="Times New Roman" w:hAnsi="Times New Roman" w:cs="Times New Roman"/>
                <w:bCs/>
                <w:iCs/>
                <w:sz w:val="20"/>
                <w:szCs w:val="20"/>
                <w:lang w:val="ro-RO" w:eastAsia="ro-RO"/>
              </w:rPr>
              <w:t xml:space="preserve"> – situaţie în care cel puţin două persoane fizice sau juridice sunt legate între ele în oricare dintre următoarele modalități: </w:t>
            </w:r>
          </w:p>
          <w:p w14:paraId="66CB1747" w14:textId="77777777" w:rsidR="00DF2DBF" w:rsidRPr="00F47FDB" w:rsidRDefault="00DF2DBF" w:rsidP="00F47FDB">
            <w:pPr>
              <w:spacing w:after="0" w:line="240" w:lineRule="auto"/>
              <w:jc w:val="both"/>
              <w:rPr>
                <w:rFonts w:ascii="Times New Roman" w:eastAsia="Times New Roman" w:hAnsi="Times New Roman" w:cs="Times New Roman"/>
                <w:bCs/>
                <w:iCs/>
                <w:sz w:val="20"/>
                <w:szCs w:val="20"/>
                <w:lang w:val="ro-RO" w:eastAsia="ro-RO"/>
              </w:rPr>
            </w:pPr>
            <w:r w:rsidRPr="00F47FDB">
              <w:rPr>
                <w:rFonts w:ascii="Times New Roman" w:eastAsia="Times New Roman" w:hAnsi="Times New Roman" w:cs="Times New Roman"/>
                <w:bCs/>
                <w:iCs/>
                <w:sz w:val="20"/>
                <w:szCs w:val="20"/>
                <w:lang w:val="ro-RO" w:eastAsia="ro-RO"/>
              </w:rPr>
              <w:t xml:space="preserve">a) printr-o participaţie sub forma deţinerii, direct sau prin intermediul controlului, a cel puţin 20% din capitalul sau drepturile de vot ale unei societăţi; </w:t>
            </w:r>
          </w:p>
          <w:p w14:paraId="1848F40F" w14:textId="77777777" w:rsidR="00DF2DBF" w:rsidRPr="00F47FDB" w:rsidRDefault="00DF2DBF" w:rsidP="00F47FDB">
            <w:pPr>
              <w:spacing w:after="0" w:line="240" w:lineRule="auto"/>
              <w:jc w:val="both"/>
              <w:rPr>
                <w:rFonts w:ascii="Times New Roman" w:eastAsia="Times New Roman" w:hAnsi="Times New Roman" w:cs="Times New Roman"/>
                <w:bCs/>
                <w:iCs/>
                <w:sz w:val="20"/>
                <w:szCs w:val="20"/>
                <w:lang w:val="ro-RO" w:eastAsia="ro-RO"/>
              </w:rPr>
            </w:pPr>
            <w:r w:rsidRPr="00F47FDB">
              <w:rPr>
                <w:rFonts w:ascii="Times New Roman" w:eastAsia="Times New Roman" w:hAnsi="Times New Roman" w:cs="Times New Roman"/>
                <w:bCs/>
                <w:iCs/>
                <w:sz w:val="20"/>
                <w:szCs w:val="20"/>
                <w:lang w:val="ro-RO" w:eastAsia="ro-RO"/>
              </w:rPr>
              <w:t xml:space="preserve">b) prin control, în sensul relației dintre o entitate-mamă și o filială, în toate cazurile prevăzute de Legea contabilității și raportării financiare nr.287/2017 sau o relație similară </w:t>
            </w:r>
            <w:r w:rsidRPr="00F47FDB">
              <w:rPr>
                <w:rFonts w:ascii="Times New Roman" w:eastAsia="Times New Roman" w:hAnsi="Times New Roman" w:cs="Times New Roman"/>
                <w:bCs/>
                <w:iCs/>
                <w:sz w:val="20"/>
                <w:szCs w:val="20"/>
                <w:lang w:val="ro-RO" w:eastAsia="ro-RO"/>
              </w:rPr>
              <w:lastRenderedPageBreak/>
              <w:t xml:space="preserve">între orice persoană fizică sau juridică și o entitate, orice filială a unei entități filiale fiind considerată, de asemenea, ca filială a entității-mamă care le conduce; </w:t>
            </w:r>
          </w:p>
          <w:p w14:paraId="41C7A131" w14:textId="77777777" w:rsidR="00DF2DBF" w:rsidRDefault="00DF2DBF" w:rsidP="00F47FDB">
            <w:pPr>
              <w:spacing w:after="0" w:line="240" w:lineRule="auto"/>
              <w:jc w:val="both"/>
              <w:rPr>
                <w:rFonts w:ascii="Times New Roman" w:eastAsia="Times New Roman" w:hAnsi="Times New Roman" w:cs="Times New Roman"/>
                <w:b/>
                <w:iCs/>
                <w:sz w:val="20"/>
                <w:szCs w:val="20"/>
                <w:lang w:val="ro-RO" w:eastAsia="ro-RO"/>
              </w:rPr>
            </w:pPr>
            <w:r w:rsidRPr="00F47FDB">
              <w:rPr>
                <w:rFonts w:ascii="Times New Roman" w:eastAsia="Times New Roman" w:hAnsi="Times New Roman" w:cs="Times New Roman"/>
                <w:bCs/>
                <w:iCs/>
                <w:sz w:val="20"/>
                <w:szCs w:val="20"/>
                <w:lang w:val="ro-RO" w:eastAsia="ro-RO"/>
              </w:rPr>
              <w:t>c) printr-o legătură permanentă între ambele sau toate aceste persoane și aceeași persoană terță printr-o relaţie de control;</w:t>
            </w:r>
          </w:p>
        </w:tc>
        <w:tc>
          <w:tcPr>
            <w:tcW w:w="599" w:type="pct"/>
            <w:tcMar>
              <w:top w:w="24" w:type="dxa"/>
              <w:left w:w="48" w:type="dxa"/>
              <w:bottom w:w="24" w:type="dxa"/>
              <w:right w:w="48" w:type="dxa"/>
            </w:tcMar>
            <w:vAlign w:val="center"/>
          </w:tcPr>
          <w:p w14:paraId="227FA20E" w14:textId="77777777" w:rsidR="00DF2DBF" w:rsidRDefault="00DF2DBF" w:rsidP="005E0DE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Energbank</w:t>
            </w:r>
          </w:p>
          <w:p w14:paraId="1578B0FB" w14:textId="77777777" w:rsidR="00577530" w:rsidRDefault="00577530" w:rsidP="005E0DE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w:t>
            </w:r>
            <w:r w:rsidR="008A1D50">
              <w:rPr>
                <w:rFonts w:ascii="Times New Roman" w:eastAsia="Times New Roman" w:hAnsi="Times New Roman" w:cs="Times New Roman"/>
                <w:sz w:val="20"/>
                <w:szCs w:val="20"/>
                <w:lang w:eastAsia="ro-RO"/>
              </w:rPr>
              <w:t>scrisoare nr.08/04/617 din 15.05.2026)</w:t>
            </w:r>
          </w:p>
        </w:tc>
        <w:tc>
          <w:tcPr>
            <w:tcW w:w="184" w:type="pct"/>
            <w:tcMar>
              <w:top w:w="24" w:type="dxa"/>
              <w:left w:w="48" w:type="dxa"/>
              <w:bottom w:w="24" w:type="dxa"/>
              <w:right w:w="48" w:type="dxa"/>
            </w:tcMar>
            <w:vAlign w:val="center"/>
          </w:tcPr>
          <w:p w14:paraId="522A4202" w14:textId="77777777" w:rsidR="00DF2DBF" w:rsidRDefault="00577530" w:rsidP="005E0DE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10</w:t>
            </w:r>
          </w:p>
        </w:tc>
        <w:tc>
          <w:tcPr>
            <w:tcW w:w="1747" w:type="pct"/>
            <w:tcMar>
              <w:top w:w="24" w:type="dxa"/>
              <w:left w:w="48" w:type="dxa"/>
              <w:bottom w:w="24" w:type="dxa"/>
              <w:right w:w="48" w:type="dxa"/>
            </w:tcMar>
            <w:vAlign w:val="center"/>
          </w:tcPr>
          <w:p w14:paraId="3A3322BD" w14:textId="77777777" w:rsidR="00DF2DBF" w:rsidRDefault="00DF2DBF" w:rsidP="005E0DE0">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bCs/>
                <w:color w:val="000000"/>
                <w:sz w:val="20"/>
                <w:szCs w:val="20"/>
                <w:lang w:val="ro-RO"/>
              </w:rPr>
              <w:t>Art</w:t>
            </w:r>
            <w:r>
              <w:rPr>
                <w:rFonts w:ascii="Times New Roman" w:hAnsi="Times New Roman" w:cs="Times New Roman"/>
                <w:bCs/>
                <w:sz w:val="20"/>
                <w:szCs w:val="20"/>
                <w:lang w:val="ro-RO"/>
              </w:rPr>
              <w:t>.</w:t>
            </w:r>
            <w:r>
              <w:rPr>
                <w:rFonts w:ascii="Times New Roman" w:hAnsi="Times New Roman" w:cs="Times New Roman"/>
                <w:bCs/>
                <w:color w:val="000000"/>
                <w:sz w:val="20"/>
                <w:szCs w:val="20"/>
                <w:lang w:val="ro-RO"/>
              </w:rPr>
              <w:t xml:space="preserve"> 4 </w:t>
            </w:r>
            <w:r>
              <w:rPr>
                <w:rFonts w:ascii="Times New Roman" w:hAnsi="Times New Roman" w:cs="Times New Roman"/>
                <w:bCs/>
                <w:sz w:val="20"/>
                <w:szCs w:val="20"/>
                <w:lang w:val="ro-RO"/>
              </w:rPr>
              <w:t xml:space="preserve">alin.(1) </w:t>
            </w:r>
            <w:r>
              <w:rPr>
                <w:rFonts w:ascii="Times New Roman" w:hAnsi="Times New Roman" w:cs="Times New Roman"/>
                <w:bCs/>
                <w:color w:val="000000"/>
                <w:sz w:val="20"/>
                <w:szCs w:val="20"/>
                <w:lang w:val="ro-RO"/>
              </w:rPr>
              <w:t>pct.44), s</w:t>
            </w:r>
            <w:r>
              <w:rPr>
                <w:rFonts w:ascii="Times New Roman" w:hAnsi="Times New Roman" w:cs="Times New Roman"/>
                <w:sz w:val="20"/>
                <w:szCs w:val="20"/>
                <w:lang w:val="ro-RO"/>
              </w:rPr>
              <w:t>e recomandă armonizarea cu proiectul de modificare a Legii nr.171/2012 privind piața de capital, unde se propune ajustarea pragului de la 20% la 25%, pentru a evita inconsistențe între actele normative din același domeniu.</w:t>
            </w:r>
          </w:p>
        </w:tc>
        <w:tc>
          <w:tcPr>
            <w:tcW w:w="1273" w:type="pct"/>
            <w:vMerge w:val="restart"/>
            <w:tcMar>
              <w:top w:w="24" w:type="dxa"/>
              <w:left w:w="48" w:type="dxa"/>
              <w:bottom w:w="24" w:type="dxa"/>
              <w:right w:w="48" w:type="dxa"/>
            </w:tcMar>
            <w:vAlign w:val="center"/>
          </w:tcPr>
          <w:p w14:paraId="56C88899" w14:textId="77777777" w:rsidR="00DF2DBF" w:rsidRDefault="00DF2DBF" w:rsidP="005E0DE0">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 xml:space="preserve">Nu se acceptă. </w:t>
            </w:r>
          </w:p>
          <w:p w14:paraId="662D2A8C" w14:textId="77777777" w:rsidR="00DF2DBF" w:rsidRDefault="00DF2DBF" w:rsidP="000D0ADE">
            <w:pPr>
              <w:spacing w:after="0" w:line="240" w:lineRule="auto"/>
              <w:jc w:val="both"/>
              <w:rPr>
                <w:rFonts w:ascii="Times New Roman" w:eastAsia="Times New Roman" w:hAnsi="Times New Roman" w:cs="Times New Roman"/>
                <w:b/>
                <w:sz w:val="20"/>
                <w:szCs w:val="20"/>
                <w:lang w:val="ro-RO" w:eastAsia="ro-RO"/>
              </w:rPr>
            </w:pPr>
            <w:r>
              <w:rPr>
                <w:rFonts w:ascii="Times New Roman" w:hAnsi="Times New Roman" w:cs="Times New Roman"/>
                <w:sz w:val="20"/>
                <w:szCs w:val="20"/>
                <w:lang w:val="ro-RO" w:eastAsia="ro-RO"/>
              </w:rPr>
              <w:t xml:space="preserve">Definiția „legăturilor strânse” de la art.4 alin. (1) pct.44) lit.a) transpune fidel art.4 alin.(1) pct.35) din Directiva 2014/65/UE, care prevede expres pragul de 20% din capital sau drepturi de vot. </w:t>
            </w:r>
            <w:r w:rsidR="00881827">
              <w:rPr>
                <w:rFonts w:ascii="Times New Roman" w:hAnsi="Times New Roman" w:cs="Times New Roman"/>
                <w:sz w:val="20"/>
                <w:szCs w:val="20"/>
                <w:lang w:val="ro-RO" w:eastAsia="ro-RO"/>
              </w:rPr>
              <w:t>În temeiul</w:t>
            </w:r>
            <w:r>
              <w:rPr>
                <w:rFonts w:ascii="Times New Roman" w:hAnsi="Times New Roman" w:cs="Times New Roman"/>
                <w:sz w:val="20"/>
                <w:szCs w:val="20"/>
                <w:lang w:val="ro-RO" w:eastAsia="ro-RO"/>
              </w:rPr>
              <w:t xml:space="preserve"> pct.24 din Regulamentul aprobat prin HG nr.1171/2018 și art.39 alin.(2) din Legea nr. 100/2017, valorile numerice prevăzute de actele UE trebuie preluate fără devieri, pentru a păstra compatibilitatea cu acquis-ul. </w:t>
            </w:r>
          </w:p>
        </w:tc>
      </w:tr>
      <w:tr w:rsidR="00DF2DBF" w:rsidRPr="00104D47" w14:paraId="3806FEE5" w14:textId="77777777" w:rsidTr="000B07F2">
        <w:trPr>
          <w:jc w:val="center"/>
        </w:trPr>
        <w:tc>
          <w:tcPr>
            <w:tcW w:w="1197" w:type="pct"/>
            <w:vMerge/>
            <w:tcMar>
              <w:top w:w="24" w:type="dxa"/>
              <w:left w:w="48" w:type="dxa"/>
              <w:bottom w:w="24" w:type="dxa"/>
              <w:right w:w="48" w:type="dxa"/>
            </w:tcMar>
            <w:vAlign w:val="center"/>
          </w:tcPr>
          <w:p w14:paraId="6904A1C7" w14:textId="77777777" w:rsidR="00DF2DBF" w:rsidRDefault="00DF2DBF" w:rsidP="005E0DE0">
            <w:pPr>
              <w:spacing w:after="0" w:line="240" w:lineRule="auto"/>
              <w:jc w:val="both"/>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71BF2B87" w14:textId="77777777" w:rsidR="00DF2DBF" w:rsidRDefault="00DF2DBF" w:rsidP="005E0DE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ABM</w:t>
            </w:r>
          </w:p>
          <w:p w14:paraId="4DF5CAE2" w14:textId="77777777" w:rsidR="00577530" w:rsidRDefault="00577530" w:rsidP="005E0DE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w:t>
            </w:r>
            <w:r w:rsidR="008A1D50">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69752F38" w14:textId="77777777" w:rsidR="00DF2DBF" w:rsidRDefault="00577530" w:rsidP="005E0DE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11</w:t>
            </w:r>
          </w:p>
        </w:tc>
        <w:tc>
          <w:tcPr>
            <w:tcW w:w="1747" w:type="pct"/>
            <w:tcMar>
              <w:top w:w="24" w:type="dxa"/>
              <w:left w:w="48" w:type="dxa"/>
              <w:bottom w:w="24" w:type="dxa"/>
              <w:right w:w="48" w:type="dxa"/>
            </w:tcMar>
            <w:vAlign w:val="center"/>
          </w:tcPr>
          <w:p w14:paraId="4FA15F7E" w14:textId="77777777" w:rsidR="00DF2DBF" w:rsidRDefault="00DF2DBF" w:rsidP="005E0DE0">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bCs/>
                <w:color w:val="000000"/>
                <w:sz w:val="20"/>
                <w:szCs w:val="20"/>
                <w:lang w:val="ro-RO"/>
              </w:rPr>
              <w:t>Cu privire la articolul 4 pct. 44) lit. a), referitor la noțiunea de „legături strânse” și pragul de 20%, recomandăm armonizarea acestuia cu proiectul de modificare a Legii nr. 171/2012 privind piața de capital, unde se propune ajustarea pragului de la 20% la 25%. O asemenea corelare este necesară pentru evitarea inconsistențelor între acte normative din același domeniu de reglementare.</w:t>
            </w:r>
          </w:p>
        </w:tc>
        <w:tc>
          <w:tcPr>
            <w:tcW w:w="1273" w:type="pct"/>
            <w:vMerge/>
            <w:tcMar>
              <w:top w:w="24" w:type="dxa"/>
              <w:left w:w="48" w:type="dxa"/>
              <w:bottom w:w="24" w:type="dxa"/>
              <w:right w:w="48" w:type="dxa"/>
            </w:tcMar>
            <w:vAlign w:val="center"/>
          </w:tcPr>
          <w:p w14:paraId="7CD9510B" w14:textId="77777777" w:rsidR="00DF2DBF" w:rsidRDefault="00DF2DBF" w:rsidP="005E0DE0">
            <w:pPr>
              <w:spacing w:after="0" w:line="240" w:lineRule="auto"/>
              <w:jc w:val="both"/>
              <w:rPr>
                <w:rFonts w:ascii="Times New Roman" w:eastAsia="Times New Roman" w:hAnsi="Times New Roman" w:cs="Times New Roman"/>
                <w:b/>
                <w:sz w:val="20"/>
                <w:szCs w:val="20"/>
                <w:lang w:val="ro-RO" w:eastAsia="ro-RO"/>
              </w:rPr>
            </w:pPr>
          </w:p>
        </w:tc>
      </w:tr>
      <w:tr w:rsidR="005E0DE0" w:rsidRPr="00104D47" w14:paraId="107C70FB" w14:textId="77777777" w:rsidTr="000B07F2">
        <w:trPr>
          <w:jc w:val="center"/>
        </w:trPr>
        <w:tc>
          <w:tcPr>
            <w:tcW w:w="1197" w:type="pct"/>
            <w:tcMar>
              <w:top w:w="24" w:type="dxa"/>
              <w:left w:w="48" w:type="dxa"/>
              <w:bottom w:w="24" w:type="dxa"/>
              <w:right w:w="48" w:type="dxa"/>
            </w:tcMar>
            <w:vAlign w:val="center"/>
          </w:tcPr>
          <w:p w14:paraId="7F6D603E" w14:textId="77777777" w:rsidR="005E0DE0" w:rsidRDefault="005E0DE0" w:rsidP="005E0DE0">
            <w:pPr>
              <w:spacing w:after="0" w:line="240" w:lineRule="auto"/>
              <w:jc w:val="both"/>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4. Noțiuni principale</w:t>
            </w:r>
          </w:p>
          <w:p w14:paraId="22122E8D" w14:textId="77777777" w:rsidR="005E0DE0" w:rsidRPr="00174652" w:rsidRDefault="005E0DE0" w:rsidP="005E0DE0">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2E908CCC" w14:textId="77777777" w:rsidR="005E0DE0" w:rsidRDefault="005E0DE0" w:rsidP="005E0DE0">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
                <w:iCs/>
                <w:sz w:val="20"/>
                <w:szCs w:val="20"/>
                <w:lang w:val="ro-RO" w:eastAsia="ro-RO"/>
              </w:rPr>
              <w:t>62)</w:t>
            </w:r>
            <w:r>
              <w:rPr>
                <w:rFonts w:ascii="Times New Roman" w:eastAsia="Times New Roman" w:hAnsi="Times New Roman" w:cs="Times New Roman"/>
                <w:bCs/>
                <w:iCs/>
                <w:sz w:val="20"/>
                <w:szCs w:val="20"/>
                <w:lang w:val="ro-RO" w:eastAsia="ro-RO"/>
              </w:rPr>
              <w:t xml:space="preserve"> </w:t>
            </w:r>
            <w:r>
              <w:rPr>
                <w:rFonts w:ascii="Times New Roman" w:eastAsia="Times New Roman" w:hAnsi="Times New Roman" w:cs="Times New Roman"/>
                <w:bCs/>
                <w:i/>
                <w:sz w:val="20"/>
                <w:szCs w:val="20"/>
                <w:lang w:val="ro-RO" w:eastAsia="ro-RO"/>
              </w:rPr>
              <w:t>produse financiare structurate</w:t>
            </w:r>
            <w:r>
              <w:rPr>
                <w:rFonts w:ascii="Times New Roman" w:eastAsia="Times New Roman" w:hAnsi="Times New Roman" w:cs="Times New Roman"/>
                <w:bCs/>
                <w:iCs/>
                <w:sz w:val="20"/>
                <w:szCs w:val="20"/>
                <w:lang w:val="ro-RO" w:eastAsia="ro-RO"/>
              </w:rPr>
              <w:t xml:space="preserve"> – acele titluri create în vederea securitizării și transferului riscului de credit asociat unui grup de active financiare care îl îndreptățesc pe titularul titlurilor să primească plăți regulate care depind de fluxurile de numerar provenind de la activele suport;</w:t>
            </w:r>
          </w:p>
          <w:p w14:paraId="7A764313" w14:textId="77777777" w:rsidR="005E0DE0" w:rsidRDefault="005E0DE0" w:rsidP="005E0DE0">
            <w:pPr>
              <w:spacing w:after="0" w:line="240" w:lineRule="auto"/>
              <w:rPr>
                <w:rFonts w:ascii="Times New Roman" w:eastAsia="Times New Roman" w:hAnsi="Times New Roman" w:cs="Times New Roman"/>
                <w:bCs/>
                <w:iCs/>
                <w:sz w:val="20"/>
                <w:szCs w:val="20"/>
                <w:lang w:val="ro-RO" w:eastAsia="ro-RO"/>
              </w:rPr>
            </w:pPr>
          </w:p>
          <w:p w14:paraId="25F82F5B" w14:textId="77777777" w:rsidR="005E0DE0" w:rsidRPr="007C37F9" w:rsidRDefault="005E0DE0" w:rsidP="005E0DE0">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
                <w:iCs/>
                <w:sz w:val="20"/>
                <w:szCs w:val="20"/>
                <w:lang w:val="ro-RO" w:eastAsia="ro-RO"/>
              </w:rPr>
              <w:t>82)</w:t>
            </w:r>
            <w:r>
              <w:rPr>
                <w:rFonts w:ascii="Times New Roman" w:eastAsia="Times New Roman" w:hAnsi="Times New Roman" w:cs="Times New Roman"/>
                <w:bCs/>
                <w:iCs/>
                <w:sz w:val="20"/>
                <w:szCs w:val="20"/>
                <w:lang w:val="ro-RO" w:eastAsia="ro-RO"/>
              </w:rPr>
              <w:t xml:space="preserve"> </w:t>
            </w:r>
            <w:r>
              <w:rPr>
                <w:rFonts w:ascii="Times New Roman" w:eastAsia="Times New Roman" w:hAnsi="Times New Roman" w:cs="Times New Roman"/>
                <w:bCs/>
                <w:i/>
                <w:sz w:val="20"/>
                <w:szCs w:val="20"/>
                <w:lang w:val="ro-RO" w:eastAsia="ro-RO"/>
              </w:rPr>
              <w:t>valori mobiliare</w:t>
            </w:r>
            <w:r>
              <w:rPr>
                <w:rFonts w:ascii="Times New Roman" w:eastAsia="Times New Roman" w:hAnsi="Times New Roman" w:cs="Times New Roman"/>
                <w:bCs/>
                <w:iCs/>
                <w:sz w:val="20"/>
                <w:szCs w:val="20"/>
                <w:lang w:val="ro-RO" w:eastAsia="ro-RO"/>
              </w:rPr>
              <w:t xml:space="preserve"> – clasele de titluri de valoare care pot fi negociate pe piaţa de capital, cu excepţia instrumentelor de plată, precum: </w:t>
            </w:r>
          </w:p>
          <w:p w14:paraId="3D3D8ED9" w14:textId="77777777" w:rsidR="005E0DE0" w:rsidRPr="007C37F9" w:rsidRDefault="005E0DE0" w:rsidP="005E0DE0">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w:t>
            </w:r>
          </w:p>
          <w:p w14:paraId="7D9DFE09" w14:textId="77777777" w:rsidR="005E0DE0" w:rsidRPr="00C71263" w:rsidRDefault="005E0DE0" w:rsidP="005E0DE0">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Cs/>
                <w:iCs/>
                <w:sz w:val="20"/>
                <w:szCs w:val="20"/>
                <w:lang w:val="ro-RO" w:eastAsia="ro-RO"/>
              </w:rPr>
              <w:t>c) orice alte titluri de valoare care conferă dreptul de a cumpăra sau de a vinde asemenea valori mobiliare sau care conduc la o decontare în numerar, stabilită în raport cu valori mobiliare, monede, rate ale dobânzii sau rentabilităţii, mărfuri sau alţi indici ori unităţi de măsură.</w:t>
            </w:r>
          </w:p>
        </w:tc>
        <w:tc>
          <w:tcPr>
            <w:tcW w:w="599" w:type="pct"/>
            <w:tcMar>
              <w:top w:w="24" w:type="dxa"/>
              <w:left w:w="48" w:type="dxa"/>
              <w:bottom w:w="24" w:type="dxa"/>
              <w:right w:w="48" w:type="dxa"/>
            </w:tcMar>
            <w:vAlign w:val="center"/>
          </w:tcPr>
          <w:p w14:paraId="31278BFE" w14:textId="77777777" w:rsidR="005E0DE0" w:rsidRDefault="005E0DE0" w:rsidP="005E0DE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55325854"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07736C2E"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7209D622" w14:textId="77777777" w:rsidR="00577530" w:rsidRPr="00724452" w:rsidRDefault="00577530" w:rsidP="005E0DE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7E68C3BE" w14:textId="77777777" w:rsidR="005E0DE0" w:rsidRDefault="00C67D9A" w:rsidP="005E0DE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12</w:t>
            </w:r>
          </w:p>
        </w:tc>
        <w:tc>
          <w:tcPr>
            <w:tcW w:w="1747" w:type="pct"/>
            <w:tcMar>
              <w:top w:w="24" w:type="dxa"/>
              <w:left w:w="48" w:type="dxa"/>
              <w:bottom w:w="24" w:type="dxa"/>
              <w:right w:w="48" w:type="dxa"/>
            </w:tcMar>
            <w:vAlign w:val="center"/>
          </w:tcPr>
          <w:p w14:paraId="142A57B9" w14:textId="77777777" w:rsidR="005E0DE0" w:rsidRPr="00100BCC" w:rsidRDefault="005E0DE0" w:rsidP="005E0DE0">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Art. 4 alin. (1) din proiect: </w:t>
            </w:r>
          </w:p>
          <w:p w14:paraId="377405E3" w14:textId="77777777" w:rsidR="005E0DE0" w:rsidRDefault="005E0DE0" w:rsidP="005E0DE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 la pct. 62) și pct. 82) lit. c) se utilizează noțiunile „flux de numerar” și „numerar”. Astfel, având în vedere că, potrivit art. 3 pct. 4) lit. a) și pct. 5) lit. a) din Legea nr. 62/2008 privind reglementarea valutară, numerarul reprezintă bancnotele și monedele metalice, se propune substituirea cuvintelor „fluxurile de numerar” cu cuvintele „fluxurile de mijloace bănești”, și cuvântului „numerar” cu cuvintele „mijloace bănești”. O soluție alternativă ar fi definirea noțiunilor „flux de numerar” și „numerar”, prin includerea în acestea, atât a numerarului propriu-zis, cât și a disponibilităților în conturi.</w:t>
            </w:r>
          </w:p>
        </w:tc>
        <w:tc>
          <w:tcPr>
            <w:tcW w:w="1273" w:type="pct"/>
            <w:tcMar>
              <w:top w:w="24" w:type="dxa"/>
              <w:left w:w="48" w:type="dxa"/>
              <w:bottom w:w="24" w:type="dxa"/>
              <w:right w:w="48" w:type="dxa"/>
            </w:tcMar>
            <w:vAlign w:val="center"/>
          </w:tcPr>
          <w:p w14:paraId="79129959" w14:textId="77777777" w:rsidR="005E0DE0" w:rsidRPr="00100BCC" w:rsidRDefault="005E0DE0" w:rsidP="005E0DE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Se acceptă </w:t>
            </w:r>
          </w:p>
          <w:p w14:paraId="5991DAE6" w14:textId="77777777" w:rsidR="005E0DE0" w:rsidRPr="00100BCC" w:rsidRDefault="005E0DE0" w:rsidP="005E0DE0">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 xml:space="preserve">Art.4 alin. (1) </w:t>
            </w:r>
            <w:r>
              <w:rPr>
                <w:rFonts w:ascii="Times New Roman" w:hAnsi="Times New Roman" w:cs="Times New Roman"/>
                <w:sz w:val="20"/>
                <w:szCs w:val="20"/>
                <w:lang w:val="ro-RO"/>
              </w:rPr>
              <w:t>pct. 62) și pct. 82) lit. c)</w:t>
            </w:r>
            <w:r>
              <w:rPr>
                <w:rFonts w:ascii="Times New Roman" w:eastAsia="Times New Roman" w:hAnsi="Times New Roman" w:cs="Times New Roman"/>
                <w:sz w:val="20"/>
                <w:szCs w:val="20"/>
                <w:lang w:val="ro-RO" w:eastAsia="ro-RO"/>
              </w:rPr>
              <w:t xml:space="preserve"> au fost modificate și au următorul conținut:</w:t>
            </w:r>
          </w:p>
          <w:p w14:paraId="4B87953A" w14:textId="77777777" w:rsidR="005E0DE0" w:rsidRPr="00100BCC" w:rsidRDefault="005E0DE0" w:rsidP="005E0DE0">
            <w:pPr>
              <w:tabs>
                <w:tab w:val="left" w:pos="567"/>
                <w:tab w:val="left" w:pos="851"/>
                <w:tab w:val="left" w:pos="993"/>
                <w:tab w:val="left" w:pos="1276"/>
                <w:tab w:val="left" w:pos="1560"/>
              </w:tabs>
              <w:spacing w:after="0" w:line="240" w:lineRule="auto"/>
              <w:jc w:val="both"/>
              <w:rPr>
                <w:rFonts w:ascii="Times New Roman" w:hAnsi="Times New Roman" w:cs="Times New Roman"/>
                <w:sz w:val="20"/>
                <w:szCs w:val="20"/>
                <w:lang w:val="ro-RO"/>
              </w:rPr>
            </w:pPr>
            <w:r>
              <w:rPr>
                <w:rFonts w:ascii="Times New Roman" w:eastAsia="Times New Roman" w:hAnsi="Times New Roman" w:cs="Times New Roman"/>
                <w:sz w:val="20"/>
                <w:szCs w:val="20"/>
                <w:lang w:val="ro-RO" w:eastAsia="ro-RO"/>
              </w:rPr>
              <w:t>„</w:t>
            </w:r>
            <w:r w:rsidRPr="00B739FA">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62) </w:t>
            </w:r>
            <w:r>
              <w:rPr>
                <w:rFonts w:ascii="Times New Roman" w:hAnsi="Times New Roman" w:cs="Times New Roman"/>
                <w:i/>
                <w:iCs/>
                <w:sz w:val="20"/>
                <w:szCs w:val="20"/>
                <w:lang w:val="ro-RO"/>
              </w:rPr>
              <w:t>produse financiare structurate</w:t>
            </w:r>
            <w:r>
              <w:rPr>
                <w:rFonts w:ascii="Times New Roman" w:hAnsi="Times New Roman" w:cs="Times New Roman"/>
                <w:sz w:val="20"/>
                <w:szCs w:val="20"/>
                <w:lang w:val="ro-RO"/>
              </w:rPr>
              <w:t xml:space="preserve"> – acele titluri create în vederea securitizării și transferului riscului de credit asociat unui grup de active financiare care îl îndreptățesc pe titularul titlurilor să primească plăți regulate care depind de fluxurile de mijloace bănești provenind de la activele suport</w:t>
            </w:r>
            <w:hyperlink r:id="rId8" w:history="1">
              <w:r>
                <w:rPr>
                  <w:rFonts w:ascii="Times New Roman" w:hAnsi="Times New Roman" w:cs="Times New Roman"/>
                  <w:sz w:val="20"/>
                  <w:szCs w:val="20"/>
                </w:rPr>
                <w:t>;</w:t>
              </w:r>
            </w:hyperlink>
          </w:p>
          <w:p w14:paraId="2B74AC96" w14:textId="77777777" w:rsidR="005E0DE0" w:rsidRPr="00B739FA" w:rsidRDefault="005E0DE0" w:rsidP="005E0DE0">
            <w:pPr>
              <w:tabs>
                <w:tab w:val="left" w:pos="567"/>
                <w:tab w:val="left" w:pos="851"/>
                <w:tab w:val="left" w:pos="993"/>
                <w:tab w:val="left" w:pos="1276"/>
                <w:tab w:val="left" w:pos="1560"/>
              </w:tabs>
              <w:spacing w:after="0" w:line="240" w:lineRule="auto"/>
              <w:jc w:val="both"/>
              <w:rPr>
                <w:rFonts w:ascii="Times New Roman" w:hAnsi="Times New Roman" w:cs="Times New Roman"/>
                <w:sz w:val="20"/>
                <w:szCs w:val="20"/>
                <w:lang w:val="fr-FR"/>
              </w:rPr>
            </w:pPr>
            <w:r w:rsidRPr="00B739FA">
              <w:rPr>
                <w:rFonts w:ascii="Times New Roman" w:hAnsi="Times New Roman" w:cs="Times New Roman"/>
                <w:sz w:val="20"/>
                <w:szCs w:val="20"/>
                <w:lang w:val="fr-FR"/>
              </w:rPr>
              <w:t>[…]</w:t>
            </w:r>
          </w:p>
          <w:p w14:paraId="360DBA27" w14:textId="77777777" w:rsidR="005E0DE0" w:rsidRPr="00100BCC" w:rsidRDefault="005E0DE0" w:rsidP="005E0DE0">
            <w:pPr>
              <w:spacing w:after="0" w:line="240" w:lineRule="auto"/>
              <w:ind w:left="-5"/>
              <w:rPr>
                <w:rFonts w:ascii="Times New Roman" w:hAnsi="Times New Roman" w:cs="Times New Roman"/>
                <w:sz w:val="20"/>
                <w:szCs w:val="20"/>
                <w:lang w:val="ro-RO"/>
              </w:rPr>
            </w:pPr>
            <w:r>
              <w:rPr>
                <w:rFonts w:ascii="Times New Roman" w:hAnsi="Times New Roman" w:cs="Times New Roman"/>
                <w:sz w:val="20"/>
                <w:szCs w:val="20"/>
                <w:lang w:val="ro-RO"/>
              </w:rPr>
              <w:t xml:space="preserve">82) </w:t>
            </w:r>
            <w:r>
              <w:rPr>
                <w:rFonts w:ascii="Times New Roman" w:hAnsi="Times New Roman" w:cs="Times New Roman"/>
                <w:i/>
                <w:sz w:val="20"/>
                <w:szCs w:val="20"/>
                <w:lang w:val="ro-RO"/>
              </w:rPr>
              <w:t>valori mobiliare</w:t>
            </w:r>
            <w:r>
              <w:rPr>
                <w:rFonts w:ascii="Times New Roman" w:hAnsi="Times New Roman" w:cs="Times New Roman"/>
                <w:sz w:val="20"/>
                <w:szCs w:val="20"/>
                <w:lang w:val="ro-RO"/>
              </w:rPr>
              <w:t xml:space="preserve"> – clasele de titluri de valoare care pot fi negociate pe piaţa de capital, cu excepţia instrumentelor de plată, precum: </w:t>
            </w:r>
          </w:p>
          <w:p w14:paraId="47AB44D5" w14:textId="77777777" w:rsidR="005E0DE0" w:rsidRDefault="005E0DE0" w:rsidP="005E0DE0">
            <w:pPr>
              <w:spacing w:after="0" w:line="240" w:lineRule="auto"/>
              <w:jc w:val="both"/>
              <w:rPr>
                <w:rFonts w:ascii="Times New Roman" w:hAnsi="Times New Roman" w:cs="Times New Roman"/>
                <w:b/>
                <w:bCs/>
                <w:sz w:val="20"/>
                <w:szCs w:val="20"/>
              </w:rPr>
            </w:pPr>
            <w:r w:rsidRPr="00B739FA">
              <w:rPr>
                <w:rFonts w:ascii="Times New Roman" w:hAnsi="Times New Roman" w:cs="Times New Roman"/>
                <w:sz w:val="20"/>
                <w:szCs w:val="20"/>
                <w:lang w:val="fr-FR"/>
              </w:rPr>
              <w:t xml:space="preserve">[…] </w:t>
            </w:r>
            <w:r>
              <w:rPr>
                <w:rFonts w:ascii="Times New Roman" w:hAnsi="Times New Roman" w:cs="Times New Roman"/>
                <w:sz w:val="20"/>
                <w:szCs w:val="20"/>
                <w:lang w:val="ro-RO"/>
              </w:rPr>
              <w:t>c) orice alte titluri de valoare care conferă dreptul de a cumpăra sau de a vinde asemenea valori mobiliare sau care conduc la o decontare în mijloace bănești, stabilită în raport cu valori mobiliare, monede, rate ale dobânzii sau rentabilităţii, mărfuri sau alţi indici ori unităţi de măsură.</w:t>
            </w:r>
            <w:r>
              <w:rPr>
                <w:rFonts w:ascii="Times New Roman" w:eastAsia="Times New Roman" w:hAnsi="Times New Roman" w:cs="Times New Roman"/>
                <w:sz w:val="20"/>
                <w:szCs w:val="20"/>
                <w:lang w:val="ro-RO" w:eastAsia="ro-RO"/>
              </w:rPr>
              <w:t>”</w:t>
            </w:r>
          </w:p>
        </w:tc>
      </w:tr>
      <w:tr w:rsidR="005E0DE0" w:rsidRPr="00104D47" w14:paraId="42820861" w14:textId="77777777" w:rsidTr="000B07F2">
        <w:trPr>
          <w:jc w:val="center"/>
        </w:trPr>
        <w:tc>
          <w:tcPr>
            <w:tcW w:w="1197" w:type="pct"/>
            <w:tcMar>
              <w:top w:w="24" w:type="dxa"/>
              <w:left w:w="48" w:type="dxa"/>
              <w:bottom w:w="24" w:type="dxa"/>
              <w:right w:w="48" w:type="dxa"/>
            </w:tcMar>
            <w:vAlign w:val="center"/>
          </w:tcPr>
          <w:p w14:paraId="1106F93F" w14:textId="77777777" w:rsidR="005E0DE0" w:rsidRDefault="005E0DE0" w:rsidP="005E0DE0">
            <w:pPr>
              <w:spacing w:after="0" w:line="240" w:lineRule="auto"/>
              <w:jc w:val="both"/>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4. Noțiuni principale</w:t>
            </w:r>
          </w:p>
          <w:p w14:paraId="539491DE" w14:textId="77777777" w:rsidR="005E0DE0" w:rsidRPr="00174652" w:rsidRDefault="005E0DE0" w:rsidP="005E0DE0">
            <w:pPr>
              <w:spacing w:after="0" w:line="240" w:lineRule="auto"/>
              <w:jc w:val="both"/>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(1) În sensul prezentei legi, următoarele noţiuni principale semnifică:</w:t>
            </w:r>
          </w:p>
          <w:p w14:paraId="05ACE365" w14:textId="77777777" w:rsidR="005E0DE0" w:rsidRPr="00C71263" w:rsidRDefault="005E0DE0" w:rsidP="005E0DE0">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70)</w:t>
            </w:r>
            <w:r>
              <w:rPr>
                <w:rFonts w:ascii="Times New Roman" w:eastAsia="Times New Roman" w:hAnsi="Times New Roman" w:cs="Times New Roman"/>
                <w:bCs/>
                <w:iCs/>
                <w:sz w:val="20"/>
                <w:szCs w:val="20"/>
                <w:lang w:val="ro-RO" w:eastAsia="ro-RO"/>
              </w:rPr>
              <w:t xml:space="preserve"> </w:t>
            </w:r>
            <w:r>
              <w:rPr>
                <w:rFonts w:ascii="Times New Roman" w:eastAsia="Times New Roman" w:hAnsi="Times New Roman" w:cs="Times New Roman"/>
                <w:bCs/>
                <w:i/>
                <w:sz w:val="20"/>
                <w:szCs w:val="20"/>
                <w:lang w:val="ro-RO" w:eastAsia="ro-RO"/>
              </w:rPr>
              <w:t>societate dintr-o ţară terţă</w:t>
            </w:r>
            <w:r>
              <w:rPr>
                <w:rFonts w:ascii="Times New Roman" w:eastAsia="Times New Roman" w:hAnsi="Times New Roman" w:cs="Times New Roman"/>
                <w:bCs/>
                <w:iCs/>
                <w:sz w:val="20"/>
                <w:szCs w:val="20"/>
                <w:lang w:val="ro-RO" w:eastAsia="ro-RO"/>
              </w:rPr>
              <w:t xml:space="preserve"> – societate care ar fi o instituţie de credit ce oferă servicii de investiţii sau desfăşoară activităţi </w:t>
            </w:r>
            <w:r>
              <w:rPr>
                <w:rFonts w:ascii="Times New Roman" w:eastAsia="Times New Roman" w:hAnsi="Times New Roman" w:cs="Times New Roman"/>
                <w:bCs/>
                <w:iCs/>
                <w:sz w:val="20"/>
                <w:szCs w:val="20"/>
                <w:lang w:val="ro-RO" w:eastAsia="ro-RO"/>
              </w:rPr>
              <w:lastRenderedPageBreak/>
              <w:t>de investiţii ori o firmă de investiţii, dacă sediul său s-ar afla pe teritoriul UE;</w:t>
            </w:r>
          </w:p>
        </w:tc>
        <w:tc>
          <w:tcPr>
            <w:tcW w:w="599" w:type="pct"/>
            <w:tcMar>
              <w:top w:w="24" w:type="dxa"/>
              <w:left w:w="48" w:type="dxa"/>
              <w:bottom w:w="24" w:type="dxa"/>
              <w:right w:w="48" w:type="dxa"/>
            </w:tcMar>
            <w:vAlign w:val="center"/>
          </w:tcPr>
          <w:p w14:paraId="549C42D3" w14:textId="77777777" w:rsidR="005E0DE0" w:rsidRDefault="005E0DE0" w:rsidP="005E0DE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BNM</w:t>
            </w:r>
          </w:p>
          <w:p w14:paraId="09BC8E25"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21A5CDBA"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70D21975" w14:textId="77777777" w:rsidR="00577530" w:rsidRPr="00724452" w:rsidRDefault="00577530" w:rsidP="005E0DE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472782E2" w14:textId="77777777" w:rsidR="005E0DE0" w:rsidRDefault="00C67D9A" w:rsidP="005E0DE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13</w:t>
            </w:r>
          </w:p>
        </w:tc>
        <w:tc>
          <w:tcPr>
            <w:tcW w:w="1747" w:type="pct"/>
            <w:tcMar>
              <w:top w:w="24" w:type="dxa"/>
              <w:left w:w="48" w:type="dxa"/>
              <w:bottom w:w="24" w:type="dxa"/>
              <w:right w:w="48" w:type="dxa"/>
            </w:tcMar>
            <w:vAlign w:val="center"/>
          </w:tcPr>
          <w:p w14:paraId="51D4E8CC" w14:textId="77777777" w:rsidR="005E0DE0" w:rsidRPr="008919D3" w:rsidRDefault="005E0DE0" w:rsidP="005E0DE0">
            <w:pPr>
              <w:autoSpaceDE w:val="0"/>
              <w:autoSpaceDN w:val="0"/>
              <w:adjustRightInd w:val="0"/>
              <w:spacing w:after="0" w:line="240" w:lineRule="auto"/>
              <w:rPr>
                <w:rFonts w:ascii="Times New Roman" w:hAnsi="Times New Roman" w:cs="Times New Roman"/>
                <w:color w:val="000000"/>
                <w:sz w:val="20"/>
                <w:szCs w:val="20"/>
                <w:lang w:val="ro-RO"/>
              </w:rPr>
            </w:pPr>
            <w:r>
              <w:rPr>
                <w:rFonts w:ascii="Times New Roman" w:hAnsi="Times New Roman" w:cs="Times New Roman"/>
                <w:color w:val="000000"/>
                <w:sz w:val="20"/>
                <w:szCs w:val="20"/>
                <w:lang w:val="ro-RO"/>
              </w:rPr>
              <w:t xml:space="preserve">Art. 4 alin. (1) din proiect: </w:t>
            </w:r>
          </w:p>
          <w:p w14:paraId="6FF3CBFF" w14:textId="77777777" w:rsidR="005E0DE0" w:rsidRDefault="005E0DE0" w:rsidP="005E0DE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 la pct. 70), se recomandă corelarea noțiunii „societate dintr-o țară terță” cu noțiunea „țară terță” prevăzută la pct. 81).</w:t>
            </w:r>
          </w:p>
        </w:tc>
        <w:tc>
          <w:tcPr>
            <w:tcW w:w="1273" w:type="pct"/>
            <w:tcMar>
              <w:top w:w="24" w:type="dxa"/>
              <w:left w:w="48" w:type="dxa"/>
              <w:bottom w:w="24" w:type="dxa"/>
              <w:right w:w="48" w:type="dxa"/>
            </w:tcMar>
            <w:vAlign w:val="center"/>
          </w:tcPr>
          <w:p w14:paraId="76E5F96F" w14:textId="77777777" w:rsidR="005E0DE0" w:rsidRPr="008919D3" w:rsidRDefault="005E0DE0" w:rsidP="005E0DE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Nu se acceptă </w:t>
            </w:r>
          </w:p>
          <w:p w14:paraId="6F9F04A4" w14:textId="77777777" w:rsidR="005E0DE0" w:rsidRDefault="005E0DE0" w:rsidP="005E0DE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bCs/>
                <w:sz w:val="20"/>
                <w:szCs w:val="20"/>
                <w:lang w:val="ro-RO" w:eastAsia="ro-RO"/>
              </w:rPr>
              <w:t xml:space="preserve">Definiția de la art.4 alin.(1) pct.70) transpune fidel art.4 alin. (1) pct.57) din Directiva 2014/65/UE. Cele 2 noțiuni operează cu criterii distincte: „țară terță” (pct.81)) definește spațiul geografic, iar „societate dintr-o țară terță” </w:t>
            </w:r>
            <w:r>
              <w:rPr>
                <w:rFonts w:ascii="Times New Roman" w:eastAsia="Times New Roman" w:hAnsi="Times New Roman" w:cs="Times New Roman"/>
                <w:bCs/>
                <w:sz w:val="20"/>
                <w:szCs w:val="20"/>
                <w:lang w:val="ro-RO" w:eastAsia="ro-RO"/>
              </w:rPr>
              <w:lastRenderedPageBreak/>
              <w:t>(pct.70)) aplică un test funcțional de calificare – la transpunerea ipotetică a sediului pe teritoriul UE, entitatea să întrunească criteriile pentru autorizare ca instituție de credit sau firmă de investiții</w:t>
            </w:r>
          </w:p>
        </w:tc>
      </w:tr>
      <w:tr w:rsidR="005E0DE0" w:rsidRPr="00104D47" w14:paraId="49900EAC" w14:textId="77777777" w:rsidTr="000B07F2">
        <w:trPr>
          <w:trHeight w:val="348"/>
          <w:jc w:val="center"/>
        </w:trPr>
        <w:tc>
          <w:tcPr>
            <w:tcW w:w="1197" w:type="pct"/>
            <w:tcMar>
              <w:top w:w="24" w:type="dxa"/>
              <w:left w:w="48" w:type="dxa"/>
              <w:bottom w:w="24" w:type="dxa"/>
              <w:right w:w="48" w:type="dxa"/>
            </w:tcMar>
            <w:vAlign w:val="center"/>
          </w:tcPr>
          <w:p w14:paraId="1188545F" w14:textId="77777777" w:rsidR="005E0DE0" w:rsidRPr="00C9452A" w:rsidRDefault="005E0DE0" w:rsidP="005E0DE0">
            <w:pPr>
              <w:spacing w:after="0" w:line="240" w:lineRule="auto"/>
              <w:rPr>
                <w:rFonts w:ascii="Times New Roman" w:eastAsia="Times New Roman" w:hAnsi="Times New Roman" w:cs="Times New Roman"/>
                <w:b/>
                <w:iCs/>
                <w:sz w:val="20"/>
                <w:szCs w:val="20"/>
                <w:lang w:val="ro-RO" w:eastAsia="ro-RO"/>
              </w:rPr>
            </w:pPr>
            <w:r w:rsidRPr="00C9452A">
              <w:rPr>
                <w:rFonts w:ascii="Times New Roman" w:eastAsia="Times New Roman" w:hAnsi="Times New Roman" w:cs="Times New Roman"/>
                <w:b/>
                <w:iCs/>
                <w:sz w:val="20"/>
                <w:szCs w:val="20"/>
                <w:lang w:val="ro-RO" w:eastAsia="ro-RO"/>
              </w:rPr>
              <w:lastRenderedPageBreak/>
              <w:t>Articolul 6. Interdicţii cu privire la unele instrumente financiare, depozite structurate și activități sau practici financiare</w:t>
            </w:r>
          </w:p>
          <w:p w14:paraId="36197FE7" w14:textId="77777777" w:rsidR="005E0DE0" w:rsidRPr="00C71263" w:rsidRDefault="005E0DE0" w:rsidP="005E0DE0">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Cs/>
                <w:iCs/>
                <w:sz w:val="20"/>
                <w:szCs w:val="20"/>
                <w:lang w:val="ro-RO" w:eastAsia="ro-RO"/>
              </w:rPr>
              <w:t>(1) În Republica Moldova sunt interzise marketingul, vânzarea şi/sau distribuirea instrumentelor financiare derivate de tipul opţiunilor binare, care reprezintă un instrument financiar derivat decontat în numerar în care plata unei sume monetare fixe depinde de apariţia unuia sau mai multor evenimente specificate în raport cu preţul, nivelul sau valoarea activului suport la data de scadenţă a instrumentului financiar derivat. Utilizarea instruirilor ca mijloc de marketing, de vânzare sau de distribuire a instrumentelor financiare derivate de tipul opţiunilor binare constituie încălcare a prevederilor prezentului alineat.</w:t>
            </w:r>
          </w:p>
        </w:tc>
        <w:tc>
          <w:tcPr>
            <w:tcW w:w="599" w:type="pct"/>
            <w:tcMar>
              <w:top w:w="24" w:type="dxa"/>
              <w:left w:w="48" w:type="dxa"/>
              <w:bottom w:w="24" w:type="dxa"/>
              <w:right w:w="48" w:type="dxa"/>
            </w:tcMar>
            <w:vAlign w:val="center"/>
          </w:tcPr>
          <w:p w14:paraId="0B4C8E06" w14:textId="77777777" w:rsidR="005E0DE0" w:rsidRDefault="005E0DE0" w:rsidP="005E0DE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12F12C23"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4936F7C8"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5CCC8EEB" w14:textId="77777777" w:rsidR="00577530" w:rsidRPr="00724452" w:rsidRDefault="00577530" w:rsidP="005E0DE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2E93B05A" w14:textId="77777777" w:rsidR="005E0DE0" w:rsidRDefault="00C67D9A" w:rsidP="005E0DE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14</w:t>
            </w:r>
          </w:p>
        </w:tc>
        <w:tc>
          <w:tcPr>
            <w:tcW w:w="1747" w:type="pct"/>
            <w:tcMar>
              <w:top w:w="24" w:type="dxa"/>
              <w:left w:w="48" w:type="dxa"/>
              <w:bottom w:w="24" w:type="dxa"/>
              <w:right w:w="48" w:type="dxa"/>
            </w:tcMar>
            <w:vAlign w:val="center"/>
          </w:tcPr>
          <w:p w14:paraId="72E14482" w14:textId="77777777" w:rsidR="005E0DE0" w:rsidRDefault="005E0DE0" w:rsidP="005E0DE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La art. 6 alin.(1) din proiect, se propune substituirea cuvintelor „în numerar” cu cuvintele „în mijloace bănești” sau definirea noțiunii „numerar”, prin includerea în aceasta, atât a numerarului propriu-zis, cât și a disponibilităților în conturi.</w:t>
            </w:r>
          </w:p>
        </w:tc>
        <w:tc>
          <w:tcPr>
            <w:tcW w:w="1273" w:type="pct"/>
            <w:tcMar>
              <w:top w:w="24" w:type="dxa"/>
              <w:left w:w="48" w:type="dxa"/>
              <w:bottom w:w="24" w:type="dxa"/>
              <w:right w:w="48" w:type="dxa"/>
            </w:tcMar>
            <w:vAlign w:val="center"/>
          </w:tcPr>
          <w:p w14:paraId="470E2AEF" w14:textId="77777777" w:rsidR="005E0DE0" w:rsidRPr="008919D3" w:rsidRDefault="005E0DE0" w:rsidP="005E0DE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Se acceptă </w:t>
            </w:r>
          </w:p>
          <w:p w14:paraId="0591E879" w14:textId="77777777" w:rsidR="005E0DE0" w:rsidRDefault="005E0DE0" w:rsidP="005E0DE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val="ro-RO" w:eastAsia="ro-RO"/>
              </w:rPr>
              <w:t>Au fost operate modificări la art.6 alin.(1): sintagma „decontat în numerar” a fost înlocuită cu „decontat în mijloace bănești”.</w:t>
            </w:r>
          </w:p>
        </w:tc>
      </w:tr>
      <w:tr w:rsidR="00DF2DBF" w:rsidRPr="00104D47" w14:paraId="20DA2218" w14:textId="77777777" w:rsidTr="000B07F2">
        <w:trPr>
          <w:trHeight w:val="348"/>
          <w:jc w:val="center"/>
        </w:trPr>
        <w:tc>
          <w:tcPr>
            <w:tcW w:w="1197" w:type="pct"/>
            <w:vMerge w:val="restart"/>
            <w:tcMar>
              <w:top w:w="24" w:type="dxa"/>
              <w:left w:w="48" w:type="dxa"/>
              <w:bottom w:w="24" w:type="dxa"/>
              <w:right w:w="48" w:type="dxa"/>
            </w:tcMar>
            <w:vAlign w:val="center"/>
          </w:tcPr>
          <w:p w14:paraId="368FB679" w14:textId="77777777" w:rsidR="00DF2DBF" w:rsidRDefault="00DF2DBF" w:rsidP="00F47FDB">
            <w:pPr>
              <w:spacing w:after="0" w:line="240" w:lineRule="auto"/>
              <w:rPr>
                <w:rFonts w:ascii="Times New Roman" w:hAnsi="Times New Roman" w:cs="Times New Roman"/>
                <w:b/>
                <w:sz w:val="20"/>
                <w:szCs w:val="20"/>
              </w:rPr>
            </w:pPr>
            <w:r w:rsidRPr="005E0DE0">
              <w:rPr>
                <w:rFonts w:ascii="Times New Roman" w:hAnsi="Times New Roman" w:cs="Times New Roman"/>
                <w:b/>
                <w:sz w:val="20"/>
                <w:szCs w:val="20"/>
              </w:rPr>
              <w:t xml:space="preserve">Articolul 10. Accesul la activitatea de prestare a serviciilor și de desfășurare a activităților de investiții </w:t>
            </w:r>
          </w:p>
          <w:p w14:paraId="42581F91" w14:textId="77777777" w:rsidR="00DF2DBF" w:rsidRPr="00C9452A" w:rsidRDefault="00DF2DBF" w:rsidP="00F47FDB">
            <w:pPr>
              <w:spacing w:after="0" w:line="240" w:lineRule="auto"/>
              <w:rPr>
                <w:rFonts w:ascii="Times New Roman" w:eastAsia="Times New Roman" w:hAnsi="Times New Roman" w:cs="Times New Roman"/>
                <w:b/>
                <w:iCs/>
                <w:sz w:val="20"/>
                <w:szCs w:val="20"/>
                <w:lang w:val="ro-RO" w:eastAsia="ro-RO"/>
              </w:rPr>
            </w:pPr>
            <w:r>
              <w:rPr>
                <w:rFonts w:ascii="Times New Roman" w:hAnsi="Times New Roman" w:cs="Times New Roman"/>
                <w:sz w:val="20"/>
                <w:szCs w:val="20"/>
                <w:lang w:val="ro-RO"/>
              </w:rPr>
              <w:t>(6) Serviciile auxiliare pot fi furnizate doar împreună cu un serviciu de investiţii şi/sau o activitate de investiţii.</w:t>
            </w:r>
          </w:p>
        </w:tc>
        <w:tc>
          <w:tcPr>
            <w:tcW w:w="599" w:type="pct"/>
            <w:tcMar>
              <w:top w:w="24" w:type="dxa"/>
              <w:left w:w="48" w:type="dxa"/>
              <w:bottom w:w="24" w:type="dxa"/>
              <w:right w:w="48" w:type="dxa"/>
            </w:tcMar>
            <w:vAlign w:val="center"/>
          </w:tcPr>
          <w:p w14:paraId="49BFCED3" w14:textId="77777777" w:rsidR="00DF2DBF" w:rsidRDefault="00DF2DBF" w:rsidP="00F47FDB">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Energbank</w:t>
            </w:r>
          </w:p>
          <w:p w14:paraId="5E6E43A0" w14:textId="77777777" w:rsidR="008A1D50" w:rsidRDefault="008A1D50" w:rsidP="00F47FDB">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nr.08/04/617 din 15.05.2026)</w:t>
            </w:r>
          </w:p>
        </w:tc>
        <w:tc>
          <w:tcPr>
            <w:tcW w:w="184" w:type="pct"/>
            <w:tcMar>
              <w:top w:w="24" w:type="dxa"/>
              <w:left w:w="48" w:type="dxa"/>
              <w:bottom w:w="24" w:type="dxa"/>
              <w:right w:w="48" w:type="dxa"/>
            </w:tcMar>
            <w:vAlign w:val="center"/>
          </w:tcPr>
          <w:p w14:paraId="47253C33" w14:textId="77777777" w:rsidR="00DF2DBF" w:rsidRDefault="00C67D9A" w:rsidP="00DF2DBF">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15</w:t>
            </w:r>
          </w:p>
        </w:tc>
        <w:tc>
          <w:tcPr>
            <w:tcW w:w="1747" w:type="pct"/>
            <w:tcMar>
              <w:top w:w="24" w:type="dxa"/>
              <w:left w:w="48" w:type="dxa"/>
              <w:bottom w:w="24" w:type="dxa"/>
              <w:right w:w="48" w:type="dxa"/>
            </w:tcMar>
            <w:vAlign w:val="center"/>
          </w:tcPr>
          <w:p w14:paraId="7A8339A7" w14:textId="77777777" w:rsidR="00DF2DBF" w:rsidRDefault="00DF2DBF" w:rsidP="00F47FDB">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bCs/>
                <w:sz w:val="20"/>
                <w:szCs w:val="20"/>
              </w:rPr>
              <w:t>La art. 10 alin.(6), s</w:t>
            </w:r>
            <w:r>
              <w:rPr>
                <w:rFonts w:ascii="Times New Roman" w:hAnsi="Times New Roman" w:cs="Times New Roman"/>
                <w:sz w:val="20"/>
                <w:szCs w:val="20"/>
              </w:rPr>
              <w:t>e propune concretizarea normei, astfel încât restricția să se aplice doar serviciilor auxiliare prevăzute la art.9 alin.(2) lit.a), b), d)-g), pentru a evita interpretări excesiv de restrictive și pentru a asigura claritate juridică.</w:t>
            </w:r>
          </w:p>
        </w:tc>
        <w:tc>
          <w:tcPr>
            <w:tcW w:w="1273" w:type="pct"/>
            <w:vMerge w:val="restart"/>
            <w:tcMar>
              <w:top w:w="24" w:type="dxa"/>
              <w:left w:w="48" w:type="dxa"/>
              <w:bottom w:w="24" w:type="dxa"/>
              <w:right w:w="48" w:type="dxa"/>
            </w:tcMar>
            <w:vAlign w:val="center"/>
          </w:tcPr>
          <w:p w14:paraId="1747C6AA" w14:textId="77777777" w:rsidR="00DF2DBF" w:rsidRDefault="00DF2DBF" w:rsidP="00F47FDB">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 xml:space="preserve">Se acceptă. </w:t>
            </w:r>
          </w:p>
          <w:p w14:paraId="379D1923" w14:textId="77777777" w:rsidR="007A136D" w:rsidRDefault="00AD6E02" w:rsidP="00AD6E02">
            <w:pPr>
              <w:spacing w:after="0" w:line="240" w:lineRule="auto"/>
              <w:jc w:val="both"/>
              <w:rPr>
                <w:rFonts w:ascii="Times New Roman" w:eastAsia="Times New Roman" w:hAnsi="Times New Roman" w:cs="Times New Roman"/>
                <w:b/>
                <w:sz w:val="20"/>
                <w:szCs w:val="20"/>
                <w:lang w:val="ro-RO" w:eastAsia="ro-RO"/>
              </w:rPr>
            </w:pPr>
            <w:r w:rsidRPr="00AD6E02">
              <w:rPr>
                <w:rFonts w:ascii="Times New Roman" w:hAnsi="Times New Roman" w:cs="Times New Roman"/>
                <w:sz w:val="20"/>
                <w:szCs w:val="20"/>
                <w:lang w:val="ro-RO" w:eastAsia="ro-RO"/>
              </w:rPr>
              <w:t xml:space="preserve">Art. 10 alin. (6) din proiect se va abroga, având în vedere că </w:t>
            </w:r>
            <w:r>
              <w:rPr>
                <w:rFonts w:ascii="Times New Roman" w:hAnsi="Times New Roman" w:cs="Times New Roman"/>
                <w:sz w:val="20"/>
                <w:szCs w:val="20"/>
                <w:lang w:val="ro-RO" w:eastAsia="ro-RO"/>
              </w:rPr>
              <w:t xml:space="preserve">norma corespunzătoare din </w:t>
            </w:r>
            <w:r w:rsidRPr="00AD6E02">
              <w:rPr>
                <w:rFonts w:ascii="Times New Roman" w:hAnsi="Times New Roman" w:cs="Times New Roman"/>
                <w:sz w:val="20"/>
                <w:szCs w:val="20"/>
                <w:lang w:val="ro-RO" w:eastAsia="ro-RO"/>
              </w:rPr>
              <w:t xml:space="preserve"> Directiva 2014/65/UE </w:t>
            </w:r>
            <w:r>
              <w:rPr>
                <w:rFonts w:ascii="Times New Roman" w:hAnsi="Times New Roman" w:cs="Times New Roman"/>
                <w:sz w:val="20"/>
                <w:szCs w:val="20"/>
                <w:lang w:val="ro-RO" w:eastAsia="ro-RO"/>
              </w:rPr>
              <w:t xml:space="preserve">cu privire la </w:t>
            </w:r>
            <w:r w:rsidRPr="00AD6E02">
              <w:rPr>
                <w:rFonts w:ascii="Times New Roman" w:hAnsi="Times New Roman" w:cs="Times New Roman"/>
                <w:sz w:val="20"/>
                <w:szCs w:val="20"/>
                <w:lang w:val="ro-RO" w:eastAsia="ro-RO"/>
              </w:rPr>
              <w:t xml:space="preserve">regimul serviciilor auxiliare </w:t>
            </w:r>
            <w:r>
              <w:rPr>
                <w:rFonts w:ascii="Times New Roman" w:hAnsi="Times New Roman" w:cs="Times New Roman"/>
                <w:sz w:val="20"/>
                <w:szCs w:val="20"/>
                <w:lang w:val="ro-RO" w:eastAsia="ro-RO"/>
              </w:rPr>
              <w:t xml:space="preserve">desfășurat pe teritoriul statelor membre </w:t>
            </w:r>
            <w:r w:rsidRPr="00AD6E02">
              <w:rPr>
                <w:rFonts w:ascii="Times New Roman" w:hAnsi="Times New Roman" w:cs="Times New Roman"/>
                <w:sz w:val="20"/>
                <w:szCs w:val="20"/>
                <w:lang w:val="ro-RO" w:eastAsia="ro-RO"/>
              </w:rPr>
              <w:t>este asigurată în mod corespunzător prin art.67 alin.(1)</w:t>
            </w:r>
            <w:r w:rsidR="00BF43C2">
              <w:rPr>
                <w:rFonts w:ascii="Times New Roman" w:hAnsi="Times New Roman" w:cs="Times New Roman"/>
                <w:sz w:val="20"/>
                <w:szCs w:val="20"/>
                <w:lang w:val="ro-RO" w:eastAsia="ro-RO"/>
              </w:rPr>
              <w:t>, 68 alin.(1), 69 alin.(1), și art.70 alin.(1) (</w:t>
            </w:r>
            <w:r>
              <w:rPr>
                <w:rFonts w:ascii="Times New Roman" w:hAnsi="Times New Roman" w:cs="Times New Roman"/>
                <w:sz w:val="20"/>
                <w:szCs w:val="20"/>
                <w:lang w:val="ro-RO" w:eastAsia="ro-RO"/>
              </w:rPr>
              <w:t>propoziția 2</w:t>
            </w:r>
            <w:r w:rsidR="00BF43C2">
              <w:rPr>
                <w:rFonts w:ascii="Times New Roman" w:hAnsi="Times New Roman" w:cs="Times New Roman"/>
                <w:sz w:val="20"/>
                <w:szCs w:val="20"/>
                <w:lang w:val="ro-RO" w:eastAsia="ro-RO"/>
              </w:rPr>
              <w:t>)</w:t>
            </w:r>
            <w:r w:rsidRPr="00AD6E02">
              <w:rPr>
                <w:rFonts w:ascii="Times New Roman" w:hAnsi="Times New Roman" w:cs="Times New Roman"/>
                <w:sz w:val="20"/>
                <w:szCs w:val="20"/>
                <w:lang w:val="ro-RO" w:eastAsia="ro-RO"/>
              </w:rPr>
              <w:t xml:space="preserve"> din proiect, care transpun art.34 alin.(1) </w:t>
            </w:r>
            <w:r>
              <w:rPr>
                <w:rFonts w:ascii="Times New Roman" w:hAnsi="Times New Roman" w:cs="Times New Roman"/>
                <w:sz w:val="20"/>
                <w:szCs w:val="20"/>
                <w:lang w:val="ro-RO" w:eastAsia="ro-RO"/>
              </w:rPr>
              <w:t xml:space="preserve">propoziția 2 </w:t>
            </w:r>
            <w:r w:rsidRPr="00AD6E02">
              <w:rPr>
                <w:rFonts w:ascii="Times New Roman" w:hAnsi="Times New Roman" w:cs="Times New Roman"/>
                <w:sz w:val="20"/>
                <w:szCs w:val="20"/>
                <w:lang w:val="ro-RO" w:eastAsia="ro-RO"/>
              </w:rPr>
              <w:t>din Directiva 2014/65/UE.</w:t>
            </w:r>
          </w:p>
        </w:tc>
      </w:tr>
      <w:tr w:rsidR="00DF2DBF" w:rsidRPr="00104D47" w14:paraId="088662D3" w14:textId="77777777" w:rsidTr="000B07F2">
        <w:trPr>
          <w:trHeight w:val="348"/>
          <w:jc w:val="center"/>
        </w:trPr>
        <w:tc>
          <w:tcPr>
            <w:tcW w:w="1197" w:type="pct"/>
            <w:vMerge/>
            <w:tcMar>
              <w:top w:w="24" w:type="dxa"/>
              <w:left w:w="48" w:type="dxa"/>
              <w:bottom w:w="24" w:type="dxa"/>
              <w:right w:w="48" w:type="dxa"/>
            </w:tcMar>
            <w:vAlign w:val="center"/>
          </w:tcPr>
          <w:p w14:paraId="6B5AA60B" w14:textId="77777777" w:rsidR="00DF2DBF" w:rsidRPr="00C9452A" w:rsidRDefault="00DF2DBF" w:rsidP="00F47FDB">
            <w:pPr>
              <w:spacing w:after="0" w:line="240" w:lineRule="auto"/>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0FA0DE19" w14:textId="77777777" w:rsidR="00DF2DBF" w:rsidRDefault="00DF2DBF" w:rsidP="00F47FDB">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ABM</w:t>
            </w:r>
          </w:p>
          <w:p w14:paraId="2975205A" w14:textId="77777777" w:rsidR="008A1D50" w:rsidRDefault="008A1D50" w:rsidP="00F47FDB">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0D66EA2D" w14:textId="77777777" w:rsidR="00DF2DBF" w:rsidRDefault="00C67D9A" w:rsidP="00F47FDB">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16</w:t>
            </w:r>
          </w:p>
        </w:tc>
        <w:tc>
          <w:tcPr>
            <w:tcW w:w="1747" w:type="pct"/>
            <w:tcMar>
              <w:top w:w="24" w:type="dxa"/>
              <w:left w:w="48" w:type="dxa"/>
              <w:bottom w:w="24" w:type="dxa"/>
              <w:right w:w="48" w:type="dxa"/>
            </w:tcMar>
            <w:vAlign w:val="center"/>
          </w:tcPr>
          <w:p w14:paraId="40326CC8" w14:textId="77777777" w:rsidR="00DF2DBF" w:rsidRDefault="00DF2DBF" w:rsidP="00F47FDB">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bCs/>
                <w:sz w:val="20"/>
                <w:szCs w:val="20"/>
              </w:rPr>
              <w:t>În ceea ce privește articolul 10 alin. (6), referitor la serviciile auxiliare, propunem concretizarea normei astfel încât restricția să se aplice doar serviciilor auxiliare prevăzute la art. 9 alin. (2) lit. a), b), d)-g). Această precizare este necesară pentru evitarea unor interpretări excesiv de restrictive și pentru asigurarea clarității juridice în aplicarea normei.</w:t>
            </w:r>
          </w:p>
        </w:tc>
        <w:tc>
          <w:tcPr>
            <w:tcW w:w="1273" w:type="pct"/>
            <w:vMerge/>
            <w:tcMar>
              <w:top w:w="24" w:type="dxa"/>
              <w:left w:w="48" w:type="dxa"/>
              <w:bottom w:w="24" w:type="dxa"/>
              <w:right w:w="48" w:type="dxa"/>
            </w:tcMar>
            <w:vAlign w:val="center"/>
          </w:tcPr>
          <w:p w14:paraId="6984037B" w14:textId="77777777" w:rsidR="00DF2DBF" w:rsidRDefault="00DF2DBF" w:rsidP="00F47FDB">
            <w:pPr>
              <w:spacing w:after="0" w:line="240" w:lineRule="auto"/>
              <w:jc w:val="both"/>
              <w:rPr>
                <w:rFonts w:ascii="Times New Roman" w:eastAsia="Times New Roman" w:hAnsi="Times New Roman" w:cs="Times New Roman"/>
                <w:b/>
                <w:sz w:val="20"/>
                <w:szCs w:val="20"/>
                <w:lang w:val="ro-RO" w:eastAsia="ro-RO"/>
              </w:rPr>
            </w:pPr>
          </w:p>
        </w:tc>
      </w:tr>
      <w:tr w:rsidR="00CE1798" w:rsidRPr="00104D47" w14:paraId="768C0C52" w14:textId="77777777" w:rsidTr="000B07F2">
        <w:trPr>
          <w:trHeight w:val="348"/>
          <w:jc w:val="center"/>
        </w:trPr>
        <w:tc>
          <w:tcPr>
            <w:tcW w:w="1197" w:type="pct"/>
            <w:vMerge w:val="restart"/>
            <w:tcMar>
              <w:top w:w="24" w:type="dxa"/>
              <w:left w:w="48" w:type="dxa"/>
              <w:bottom w:w="24" w:type="dxa"/>
              <w:right w:w="48" w:type="dxa"/>
            </w:tcMar>
            <w:vAlign w:val="center"/>
          </w:tcPr>
          <w:p w14:paraId="2689E3AA" w14:textId="77777777" w:rsidR="00CE1798" w:rsidRDefault="00CE1798" w:rsidP="00F2199A">
            <w:pPr>
              <w:spacing w:after="0" w:line="240" w:lineRule="auto"/>
              <w:rPr>
                <w:rFonts w:ascii="Times New Roman" w:eastAsia="Times New Roman" w:hAnsi="Times New Roman" w:cs="Times New Roman"/>
                <w:b/>
                <w:iCs/>
                <w:sz w:val="20"/>
                <w:szCs w:val="20"/>
                <w:lang w:val="ro-RO" w:eastAsia="ro-RO"/>
              </w:rPr>
            </w:pPr>
            <w:r w:rsidRPr="00FD4B2E">
              <w:rPr>
                <w:rFonts w:ascii="Times New Roman" w:eastAsia="Times New Roman" w:hAnsi="Times New Roman" w:cs="Times New Roman"/>
                <w:b/>
                <w:iCs/>
                <w:sz w:val="20"/>
                <w:szCs w:val="20"/>
                <w:lang w:val="ro-RO" w:eastAsia="ro-RO"/>
              </w:rPr>
              <w:t>Articolul 11.</w:t>
            </w:r>
            <w:r>
              <w:rPr>
                <w:rFonts w:ascii="Times New Roman" w:eastAsia="Times New Roman" w:hAnsi="Times New Roman" w:cs="Times New Roman"/>
                <w:b/>
                <w:iCs/>
                <w:sz w:val="20"/>
                <w:szCs w:val="20"/>
                <w:lang w:val="ro-RO" w:eastAsia="ro-RO"/>
              </w:rPr>
              <w:t xml:space="preserve"> Consultantul de investiții</w:t>
            </w:r>
          </w:p>
          <w:p w14:paraId="12EFAE47"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r w:rsidRPr="00FD4B2E">
              <w:rPr>
                <w:rFonts w:ascii="Times New Roman" w:eastAsia="Times New Roman" w:hAnsi="Times New Roman" w:cs="Times New Roman"/>
                <w:bCs/>
                <w:iCs/>
                <w:sz w:val="20"/>
                <w:szCs w:val="20"/>
                <w:lang w:val="ro-RO" w:eastAsia="ro-RO"/>
              </w:rPr>
              <w:lastRenderedPageBreak/>
              <w:t>(1)</w:t>
            </w:r>
            <w:r>
              <w:rPr>
                <w:rFonts w:ascii="Times New Roman" w:eastAsia="Times New Roman" w:hAnsi="Times New Roman" w:cs="Times New Roman"/>
                <w:bCs/>
                <w:iCs/>
                <w:sz w:val="20"/>
                <w:szCs w:val="20"/>
                <w:lang w:val="ro-RO" w:eastAsia="ro-RO"/>
              </w:rPr>
              <w:t xml:space="preserve"> Se consideră consultant de investiții și nu necesită autorizație de firmă de investiții persoana fizică sau juridică autorizată de CNPF, care desfășoară exclusiv, cu titlu profesional, următoarele servicii și activități de investiții:</w:t>
            </w:r>
          </w:p>
          <w:p w14:paraId="0FFD9224"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a) primirea și transmiterea ordinelor privind valori mobiliare și unități de fond (acțiuni) ale organismelor de plasament colectiv; și/sau</w:t>
            </w:r>
          </w:p>
          <w:p w14:paraId="0DDC3956"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b) consultanță în investiții în privința instrumentelor financiare specificate la lit.a).</w:t>
            </w:r>
          </w:p>
          <w:p w14:paraId="54904BF1"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p>
          <w:p w14:paraId="3EBE4321"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(4) Persoanele specificate la alin.(1) din prezentul articol sunt aprobate de CNPF în conformitate cu actele normative emise pentru executarea prezentei legi, următoarele prevederi fiind aplicate, după caz și în mod corespunzător, consultanților de investiții:</w:t>
            </w:r>
          </w:p>
          <w:p w14:paraId="24221604"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a) condițiile și procedurile de autorizare și supraveghere continuă prevăzute la art.13 alin.(1), alin.(11)-(12), alin.(14), alin.(16)-(17), art. 15, art.16, art.18-21, art.45 și art.46, precum și cele prevăzute de actele normative emise pentru executarea prezentei legi;</w:t>
            </w:r>
          </w:p>
          <w:p w14:paraId="4AB366CD" w14:textId="77777777" w:rsidR="00CE1798" w:rsidRDefault="00CE1798" w:rsidP="00F2199A">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b) normele de conduită profesională prevăzute la art.50 alin.(5), art.51 alin.(1), (4)-(9), (11), (12), art.55 alin.(1)-(3), art.57 alin.(1)-(4), precum și cele prevăzute de actele normative emise pentru executarea prezentei legi;</w:t>
            </w:r>
          </w:p>
          <w:p w14:paraId="5F7BAE06" w14:textId="77777777" w:rsidR="00CE1798" w:rsidRPr="00FD4B2E" w:rsidRDefault="00CE1798" w:rsidP="00F2199A">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c) cerințele organizatorice prevăzute la art.35 alin.(11) și (12), art.38, art.41 alin.(1)-</w:t>
            </w:r>
            <w:r>
              <w:rPr>
                <w:rFonts w:ascii="Times New Roman" w:eastAsia="Times New Roman" w:hAnsi="Times New Roman" w:cs="Times New Roman"/>
                <w:bCs/>
                <w:iCs/>
                <w:sz w:val="20"/>
                <w:szCs w:val="20"/>
                <w:lang w:val="ro-RO" w:eastAsia="ro-RO"/>
              </w:rPr>
              <w:lastRenderedPageBreak/>
              <w:t>(9), precum și cele prevăzute de actele normative emise pentru executarea prezentei legi.</w:t>
            </w:r>
          </w:p>
        </w:tc>
        <w:tc>
          <w:tcPr>
            <w:tcW w:w="599" w:type="pct"/>
            <w:vMerge w:val="restart"/>
            <w:tcMar>
              <w:top w:w="24" w:type="dxa"/>
              <w:left w:w="48" w:type="dxa"/>
              <w:bottom w:w="24" w:type="dxa"/>
              <w:right w:w="48" w:type="dxa"/>
            </w:tcMar>
            <w:vAlign w:val="center"/>
          </w:tcPr>
          <w:p w14:paraId="26CFF712" w14:textId="77777777" w:rsidR="00CE1798" w:rsidRPr="00F147BF" w:rsidRDefault="00CE1798" w:rsidP="00F2199A">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 xml:space="preserve">„Gest-Capital” S.A. </w:t>
            </w:r>
            <w:r w:rsidRPr="008F7D09">
              <w:rPr>
                <w:rFonts w:ascii="Times New Roman" w:eastAsia="Times New Roman" w:hAnsi="Times New Roman" w:cs="Times New Roman"/>
                <w:sz w:val="20"/>
                <w:szCs w:val="20"/>
                <w:lang w:eastAsia="ro-RO"/>
              </w:rPr>
              <w:t>(scrisoare nr.137 din 8 iunie 2026)</w:t>
            </w:r>
          </w:p>
        </w:tc>
        <w:tc>
          <w:tcPr>
            <w:tcW w:w="184" w:type="pct"/>
            <w:tcMar>
              <w:top w:w="24" w:type="dxa"/>
              <w:left w:w="48" w:type="dxa"/>
              <w:bottom w:w="24" w:type="dxa"/>
              <w:right w:w="48" w:type="dxa"/>
            </w:tcMar>
            <w:vAlign w:val="center"/>
          </w:tcPr>
          <w:p w14:paraId="13462DAE" w14:textId="77777777" w:rsidR="00CE1798" w:rsidRDefault="00CE1798" w:rsidP="00F2199A">
            <w:pPr>
              <w:spacing w:after="0" w:line="240" w:lineRule="auto"/>
              <w:jc w:val="center"/>
              <w:rPr>
                <w:rFonts w:ascii="Times New Roman" w:eastAsia="Times New Roman" w:hAnsi="Times New Roman" w:cs="Times New Roman"/>
                <w:b/>
                <w:bCs/>
                <w:sz w:val="20"/>
                <w:szCs w:val="20"/>
                <w:lang w:eastAsia="ro-RO"/>
              </w:rPr>
            </w:pPr>
          </w:p>
        </w:tc>
        <w:tc>
          <w:tcPr>
            <w:tcW w:w="1747" w:type="pct"/>
            <w:vMerge w:val="restart"/>
            <w:tcMar>
              <w:top w:w="24" w:type="dxa"/>
              <w:left w:w="48" w:type="dxa"/>
              <w:bottom w:w="24" w:type="dxa"/>
              <w:right w:w="48" w:type="dxa"/>
            </w:tcMar>
            <w:vAlign w:val="center"/>
          </w:tcPr>
          <w:p w14:paraId="06533246" w14:textId="77777777" w:rsidR="00CE1798" w:rsidRPr="00AA2569" w:rsidRDefault="00CE1798" w:rsidP="00F2199A">
            <w:pPr>
              <w:spacing w:after="0" w:line="240" w:lineRule="auto"/>
              <w:ind w:right="98"/>
              <w:jc w:val="both"/>
              <w:rPr>
                <w:rFonts w:ascii="Times New Roman" w:hAnsi="Times New Roman" w:cs="Times New Roman"/>
                <w:sz w:val="20"/>
                <w:szCs w:val="20"/>
              </w:rPr>
            </w:pPr>
            <w:r w:rsidRPr="00AA2569">
              <w:rPr>
                <w:rFonts w:ascii="Times New Roman" w:hAnsi="Times New Roman" w:cs="Times New Roman"/>
                <w:sz w:val="20"/>
                <w:szCs w:val="20"/>
              </w:rPr>
              <w:t>Pentru asigurarea egalității de șanse entităților profesioniste nebancare participante la piața de capital propunem completarea art.11 din proiectul de lege cu un nou alineat (13) similar alineatului (9) art.14 din proiect, și anume:</w:t>
            </w:r>
          </w:p>
          <w:p w14:paraId="40BC5489" w14:textId="77777777" w:rsidR="00CE1798" w:rsidRPr="00AA2569" w:rsidRDefault="00CE1798" w:rsidP="00F2199A">
            <w:pPr>
              <w:autoSpaceDE w:val="0"/>
              <w:autoSpaceDN w:val="0"/>
              <w:adjustRightInd w:val="0"/>
              <w:spacing w:after="0" w:line="240" w:lineRule="auto"/>
              <w:ind w:right="98"/>
              <w:jc w:val="both"/>
              <w:rPr>
                <w:rFonts w:ascii="Times New Roman" w:hAnsi="Times New Roman" w:cs="Times New Roman"/>
                <w:sz w:val="20"/>
                <w:szCs w:val="20"/>
              </w:rPr>
            </w:pPr>
            <w:r w:rsidRPr="00AA2569">
              <w:rPr>
                <w:rFonts w:ascii="Times New Roman" w:hAnsi="Times New Roman" w:cs="Times New Roman"/>
                <w:sz w:val="20"/>
                <w:szCs w:val="20"/>
              </w:rPr>
              <w:t>„(13) Fără a aduce atingere prevederilor alin.(4), consultantul de investiții poate desfășura și alte activități decât serviciile și activitățile de investiții pentru care au fost autorizate în temeiul prezentei legi, cu condiția ca aceste servicii sau activități care pot fi desfășurate de firmele de investiții și cerințele aplicabile acestora.”</w:t>
            </w:r>
          </w:p>
        </w:tc>
        <w:tc>
          <w:tcPr>
            <w:tcW w:w="1273" w:type="pct"/>
            <w:tcMar>
              <w:top w:w="24" w:type="dxa"/>
              <w:left w:w="48" w:type="dxa"/>
              <w:bottom w:w="24" w:type="dxa"/>
              <w:right w:w="48" w:type="dxa"/>
            </w:tcMar>
            <w:vAlign w:val="center"/>
          </w:tcPr>
          <w:p w14:paraId="1403F2F3" w14:textId="77777777" w:rsidR="00CE1798" w:rsidRPr="00AA2569" w:rsidRDefault="00CE1798" w:rsidP="00F2199A">
            <w:pPr>
              <w:spacing w:after="0" w:line="240" w:lineRule="auto"/>
              <w:jc w:val="both"/>
              <w:rPr>
                <w:rFonts w:ascii="Times New Roman" w:eastAsia="Times New Roman" w:hAnsi="Times New Roman" w:cs="Times New Roman"/>
                <w:b/>
                <w:sz w:val="20"/>
                <w:szCs w:val="20"/>
                <w:lang w:val="ro-RO" w:eastAsia="ro-RO"/>
              </w:rPr>
            </w:pPr>
          </w:p>
        </w:tc>
      </w:tr>
      <w:tr w:rsidR="00CE1798" w:rsidRPr="00104D47" w14:paraId="33AF7418" w14:textId="77777777" w:rsidTr="001E5B1A">
        <w:trPr>
          <w:trHeight w:val="2190"/>
          <w:jc w:val="center"/>
        </w:trPr>
        <w:tc>
          <w:tcPr>
            <w:tcW w:w="1197" w:type="pct"/>
            <w:vMerge/>
            <w:tcMar>
              <w:top w:w="24" w:type="dxa"/>
              <w:left w:w="48" w:type="dxa"/>
              <w:bottom w:w="24" w:type="dxa"/>
              <w:right w:w="48" w:type="dxa"/>
            </w:tcMar>
            <w:vAlign w:val="center"/>
          </w:tcPr>
          <w:p w14:paraId="75C1A0E5" w14:textId="77777777" w:rsidR="00CE1798" w:rsidRPr="00C9452A" w:rsidRDefault="00CE1798" w:rsidP="00F2199A">
            <w:pPr>
              <w:spacing w:after="0" w:line="240" w:lineRule="auto"/>
              <w:rPr>
                <w:rFonts w:ascii="Times New Roman" w:eastAsia="Times New Roman" w:hAnsi="Times New Roman" w:cs="Times New Roman"/>
                <w:b/>
                <w:iCs/>
                <w:sz w:val="20"/>
                <w:szCs w:val="20"/>
                <w:lang w:val="ro-RO" w:eastAsia="ro-RO"/>
              </w:rPr>
            </w:pPr>
          </w:p>
        </w:tc>
        <w:tc>
          <w:tcPr>
            <w:tcW w:w="599" w:type="pct"/>
            <w:vMerge/>
            <w:tcMar>
              <w:top w:w="24" w:type="dxa"/>
              <w:left w:w="48" w:type="dxa"/>
              <w:bottom w:w="24" w:type="dxa"/>
              <w:right w:w="48" w:type="dxa"/>
            </w:tcMar>
            <w:vAlign w:val="center"/>
          </w:tcPr>
          <w:p w14:paraId="20465BD1" w14:textId="77777777" w:rsidR="00CE1798" w:rsidRDefault="00CE1798" w:rsidP="00F2199A">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463D26AF" w14:textId="77777777" w:rsidR="00CE1798" w:rsidRDefault="00C67D9A" w:rsidP="00F2199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17</w:t>
            </w:r>
          </w:p>
        </w:tc>
        <w:tc>
          <w:tcPr>
            <w:tcW w:w="1747" w:type="pct"/>
            <w:vMerge/>
            <w:tcMar>
              <w:top w:w="24" w:type="dxa"/>
              <w:left w:w="48" w:type="dxa"/>
              <w:bottom w:w="24" w:type="dxa"/>
              <w:right w:w="48" w:type="dxa"/>
            </w:tcMar>
            <w:vAlign w:val="center"/>
          </w:tcPr>
          <w:p w14:paraId="3301E589" w14:textId="77777777" w:rsidR="00CE1798" w:rsidRPr="00AA2569" w:rsidRDefault="00CE1798" w:rsidP="00F2199A">
            <w:pPr>
              <w:autoSpaceDE w:val="0"/>
              <w:autoSpaceDN w:val="0"/>
              <w:adjustRightInd w:val="0"/>
              <w:spacing w:after="0" w:line="240" w:lineRule="auto"/>
              <w:ind w:right="98"/>
              <w:jc w:val="both"/>
              <w:rPr>
                <w:rFonts w:ascii="Times New Roman" w:hAnsi="Times New Roman" w:cs="Times New Roman"/>
                <w:bCs/>
                <w:sz w:val="20"/>
                <w:szCs w:val="20"/>
              </w:rPr>
            </w:pPr>
          </w:p>
        </w:tc>
        <w:tc>
          <w:tcPr>
            <w:tcW w:w="1273" w:type="pct"/>
            <w:tcMar>
              <w:top w:w="24" w:type="dxa"/>
              <w:left w:w="48" w:type="dxa"/>
              <w:bottom w:w="24" w:type="dxa"/>
              <w:right w:w="48" w:type="dxa"/>
            </w:tcMar>
            <w:vAlign w:val="center"/>
          </w:tcPr>
          <w:p w14:paraId="6ACF8A10" w14:textId="77777777" w:rsidR="001E5B1A" w:rsidRDefault="003861A0" w:rsidP="00F2199A">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 xml:space="preserve">Se acceptă </w:t>
            </w:r>
          </w:p>
          <w:p w14:paraId="36F08B16" w14:textId="77777777" w:rsidR="001156F8" w:rsidRPr="001156F8" w:rsidRDefault="001156F8" w:rsidP="001156F8">
            <w:pPr>
              <w:spacing w:after="0" w:line="240" w:lineRule="auto"/>
              <w:jc w:val="both"/>
              <w:rPr>
                <w:rFonts w:ascii="Times New Roman" w:eastAsia="Times New Roman" w:hAnsi="Times New Roman" w:cs="Times New Roman"/>
                <w:bCs/>
                <w:sz w:val="20"/>
                <w:szCs w:val="20"/>
                <w:lang w:eastAsia="ro-RO"/>
              </w:rPr>
            </w:pPr>
            <w:r w:rsidRPr="001156F8">
              <w:rPr>
                <w:rFonts w:ascii="Times New Roman" w:eastAsia="Times New Roman" w:hAnsi="Times New Roman" w:cs="Times New Roman"/>
                <w:bCs/>
                <w:sz w:val="20"/>
                <w:szCs w:val="20"/>
                <w:lang w:eastAsia="ro-RO"/>
              </w:rPr>
              <w:t>Propunerea a fost reținută. Art.11 a fost completat cu un nou alineat (13), prin care se recunoaște dreptul consultantului de investiții de a desfășura alte activități nereglementate prin prezenta lege. Întrucât consultantul de investiții funcționează în regimul de exonerare prevăzut la art.3 din Directiva 2014/65/UE (limitat, ca servicii și activități de investiții, la consultanța de investiții și la primirea și transmiterea ordinelor), exercitarea acestui drept a fost condiționată, în vederea protecției investitorilor și a coerenței cu regimul aplicabil, de:</w:t>
            </w:r>
          </w:p>
          <w:p w14:paraId="4514ADD3" w14:textId="77777777" w:rsidR="001156F8" w:rsidRPr="001156F8" w:rsidRDefault="001156F8" w:rsidP="001156F8">
            <w:pPr>
              <w:spacing w:after="0" w:line="240" w:lineRule="auto"/>
              <w:jc w:val="both"/>
              <w:rPr>
                <w:rFonts w:ascii="Times New Roman" w:eastAsia="Times New Roman" w:hAnsi="Times New Roman" w:cs="Times New Roman"/>
                <w:bCs/>
                <w:sz w:val="20"/>
                <w:szCs w:val="20"/>
                <w:lang w:eastAsia="ro-RO"/>
              </w:rPr>
            </w:pPr>
            <w:r w:rsidRPr="001156F8">
              <w:rPr>
                <w:rFonts w:ascii="Times New Roman" w:eastAsia="Times New Roman" w:hAnsi="Times New Roman" w:cs="Times New Roman"/>
                <w:bCs/>
                <w:sz w:val="20"/>
                <w:szCs w:val="20"/>
                <w:lang w:eastAsia="ro-RO"/>
              </w:rPr>
              <w:t>a) permisiunea legislației speciale aplicabile;</w:t>
            </w:r>
          </w:p>
          <w:p w14:paraId="455D4188" w14:textId="77777777" w:rsidR="001156F8" w:rsidRPr="001156F8" w:rsidRDefault="001156F8" w:rsidP="001156F8">
            <w:pPr>
              <w:spacing w:after="0" w:line="240" w:lineRule="auto"/>
              <w:jc w:val="both"/>
              <w:rPr>
                <w:rFonts w:ascii="Times New Roman" w:eastAsia="Times New Roman" w:hAnsi="Times New Roman" w:cs="Times New Roman"/>
                <w:bCs/>
                <w:sz w:val="20"/>
                <w:szCs w:val="20"/>
                <w:lang w:eastAsia="ro-RO"/>
              </w:rPr>
            </w:pPr>
            <w:r w:rsidRPr="001156F8">
              <w:rPr>
                <w:rFonts w:ascii="Times New Roman" w:eastAsia="Times New Roman" w:hAnsi="Times New Roman" w:cs="Times New Roman"/>
                <w:bCs/>
                <w:sz w:val="20"/>
                <w:szCs w:val="20"/>
                <w:lang w:eastAsia="ro-RO"/>
              </w:rPr>
              <w:t>b) obținerea, după caz, a autorizațiilor, notificărilor sau înregistrărilor necesare potrivit acesteia; și</w:t>
            </w:r>
          </w:p>
          <w:p w14:paraId="25A7DBFE" w14:textId="77777777" w:rsidR="003861A0" w:rsidRPr="003861A0" w:rsidRDefault="001156F8" w:rsidP="001156F8">
            <w:pPr>
              <w:spacing w:after="0" w:line="240" w:lineRule="auto"/>
              <w:jc w:val="both"/>
              <w:rPr>
                <w:rFonts w:ascii="Times New Roman" w:eastAsia="Times New Roman" w:hAnsi="Times New Roman" w:cs="Times New Roman"/>
                <w:bCs/>
                <w:sz w:val="20"/>
                <w:szCs w:val="20"/>
                <w:lang w:eastAsia="ro-RO"/>
              </w:rPr>
            </w:pPr>
            <w:r w:rsidRPr="001156F8">
              <w:rPr>
                <w:rFonts w:ascii="Times New Roman" w:eastAsia="Times New Roman" w:hAnsi="Times New Roman" w:cs="Times New Roman"/>
                <w:bCs/>
                <w:sz w:val="20"/>
                <w:szCs w:val="20"/>
                <w:lang w:eastAsia="ro-RO"/>
              </w:rPr>
              <w:t>c) neafectarea respectării obligațiilor prevăzute la art.11, inclusiv a interdicției de a deține fonduri sau valori mobiliare ale clienților prevăzute la alin.(2).</w:t>
            </w:r>
          </w:p>
        </w:tc>
      </w:tr>
      <w:tr w:rsidR="001E5B1A" w:rsidRPr="00104D47" w14:paraId="595C7CAC" w14:textId="77777777" w:rsidTr="000B07F2">
        <w:trPr>
          <w:trHeight w:val="600"/>
          <w:jc w:val="center"/>
        </w:trPr>
        <w:tc>
          <w:tcPr>
            <w:tcW w:w="1197" w:type="pct"/>
            <w:vMerge/>
            <w:tcMar>
              <w:top w:w="24" w:type="dxa"/>
              <w:left w:w="48" w:type="dxa"/>
              <w:bottom w:w="24" w:type="dxa"/>
              <w:right w:w="48" w:type="dxa"/>
            </w:tcMar>
            <w:vAlign w:val="center"/>
          </w:tcPr>
          <w:p w14:paraId="6D0587DF" w14:textId="77777777" w:rsidR="001E5B1A" w:rsidRPr="00C9452A" w:rsidRDefault="001E5B1A" w:rsidP="00F2199A">
            <w:pPr>
              <w:spacing w:after="0" w:line="240" w:lineRule="auto"/>
              <w:rPr>
                <w:rFonts w:ascii="Times New Roman" w:eastAsia="Times New Roman" w:hAnsi="Times New Roman" w:cs="Times New Roman"/>
                <w:b/>
                <w:iCs/>
                <w:sz w:val="20"/>
                <w:szCs w:val="20"/>
                <w:lang w:val="ro-RO" w:eastAsia="ro-RO"/>
              </w:rPr>
            </w:pPr>
          </w:p>
        </w:tc>
        <w:tc>
          <w:tcPr>
            <w:tcW w:w="599" w:type="pct"/>
            <w:vMerge/>
            <w:tcMar>
              <w:top w:w="24" w:type="dxa"/>
              <w:left w:w="48" w:type="dxa"/>
              <w:bottom w:w="24" w:type="dxa"/>
              <w:right w:w="48" w:type="dxa"/>
            </w:tcMar>
            <w:vAlign w:val="center"/>
          </w:tcPr>
          <w:p w14:paraId="083A56F9" w14:textId="77777777" w:rsidR="001E5B1A" w:rsidRDefault="001E5B1A" w:rsidP="00F2199A">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412743BB" w14:textId="77777777" w:rsidR="001E5B1A" w:rsidRDefault="00C67D9A" w:rsidP="00F2199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18</w:t>
            </w:r>
          </w:p>
        </w:tc>
        <w:tc>
          <w:tcPr>
            <w:tcW w:w="1747" w:type="pct"/>
            <w:tcMar>
              <w:top w:w="24" w:type="dxa"/>
              <w:left w:w="48" w:type="dxa"/>
              <w:bottom w:w="24" w:type="dxa"/>
              <w:right w:w="48" w:type="dxa"/>
            </w:tcMar>
            <w:vAlign w:val="center"/>
          </w:tcPr>
          <w:p w14:paraId="1A5E3C65" w14:textId="77777777" w:rsidR="001E5B1A" w:rsidRPr="00AA2569" w:rsidRDefault="001E5B1A" w:rsidP="001E5B1A">
            <w:pPr>
              <w:spacing w:after="0" w:line="240" w:lineRule="auto"/>
              <w:ind w:right="98"/>
              <w:jc w:val="both"/>
              <w:rPr>
                <w:rFonts w:ascii="Times New Roman" w:hAnsi="Times New Roman" w:cs="Times New Roman"/>
                <w:bCs/>
                <w:sz w:val="20"/>
                <w:szCs w:val="20"/>
              </w:rPr>
            </w:pPr>
            <w:r w:rsidRPr="00AA2569">
              <w:rPr>
                <w:rFonts w:ascii="Times New Roman" w:hAnsi="Times New Roman" w:cs="Times New Roman"/>
                <w:sz w:val="20"/>
                <w:szCs w:val="20"/>
              </w:rPr>
              <w:t>Consecvent, propunem excluderea cuvântului „exclusiv” din prevederile art.11 alin.(1) din proiectul de lege.</w:t>
            </w:r>
          </w:p>
        </w:tc>
        <w:tc>
          <w:tcPr>
            <w:tcW w:w="1273" w:type="pct"/>
            <w:tcMar>
              <w:top w:w="24" w:type="dxa"/>
              <w:left w:w="48" w:type="dxa"/>
              <w:bottom w:w="24" w:type="dxa"/>
              <w:right w:w="48" w:type="dxa"/>
            </w:tcMar>
            <w:vAlign w:val="center"/>
          </w:tcPr>
          <w:p w14:paraId="2C3FB1E7" w14:textId="77777777" w:rsidR="001E5B1A" w:rsidRPr="00AA2569" w:rsidRDefault="001E5B1A" w:rsidP="001E5B1A">
            <w:pPr>
              <w:spacing w:after="0" w:line="240" w:lineRule="auto"/>
              <w:jc w:val="both"/>
              <w:rPr>
                <w:rFonts w:ascii="Times New Roman" w:eastAsia="Times New Roman" w:hAnsi="Times New Roman" w:cs="Times New Roman"/>
                <w:b/>
                <w:sz w:val="20"/>
                <w:szCs w:val="20"/>
                <w:lang w:eastAsia="ro-RO"/>
              </w:rPr>
            </w:pPr>
            <w:r w:rsidRPr="00AA2569">
              <w:rPr>
                <w:rFonts w:ascii="Times New Roman" w:eastAsia="Times New Roman" w:hAnsi="Times New Roman" w:cs="Times New Roman"/>
                <w:b/>
                <w:sz w:val="20"/>
                <w:szCs w:val="20"/>
                <w:lang w:val="ro-RO" w:eastAsia="ro-RO"/>
              </w:rPr>
              <w:t>Se accept</w:t>
            </w:r>
            <w:r w:rsidRPr="00AA2569">
              <w:rPr>
                <w:rFonts w:ascii="Times New Roman" w:eastAsia="Times New Roman" w:hAnsi="Times New Roman" w:cs="Times New Roman"/>
                <w:b/>
                <w:sz w:val="20"/>
                <w:szCs w:val="20"/>
                <w:lang w:eastAsia="ro-RO"/>
              </w:rPr>
              <w:t>ă.</w:t>
            </w:r>
          </w:p>
          <w:p w14:paraId="2298C223" w14:textId="77777777" w:rsidR="001E5B1A" w:rsidRPr="00AA2569" w:rsidRDefault="00BF435D" w:rsidP="001E5B1A">
            <w:pPr>
              <w:spacing w:after="0" w:line="240" w:lineRule="auto"/>
              <w:jc w:val="both"/>
              <w:rPr>
                <w:rFonts w:ascii="Times New Roman" w:eastAsia="Times New Roman" w:hAnsi="Times New Roman" w:cs="Times New Roman"/>
                <w:b/>
                <w:sz w:val="20"/>
                <w:szCs w:val="20"/>
                <w:lang w:val="ro-RO" w:eastAsia="ro-RO"/>
              </w:rPr>
            </w:pPr>
            <w:r w:rsidRPr="00BF435D">
              <w:rPr>
                <w:rFonts w:ascii="Times New Roman" w:eastAsia="Times New Roman" w:hAnsi="Times New Roman" w:cs="Times New Roman"/>
                <w:bCs/>
                <w:sz w:val="20"/>
                <w:szCs w:val="20"/>
                <w:lang w:eastAsia="ro-RO"/>
              </w:rPr>
              <w:t>A fost exclus cuvântul „exclusiv</w:t>
            </w:r>
            <w:r>
              <w:rPr>
                <w:rFonts w:ascii="Times New Roman" w:eastAsia="Times New Roman" w:hAnsi="Times New Roman" w:cs="Times New Roman"/>
                <w:bCs/>
                <w:sz w:val="20"/>
                <w:szCs w:val="20"/>
                <w:lang w:eastAsia="ro-RO"/>
              </w:rPr>
              <w:t>”</w:t>
            </w:r>
            <w:r w:rsidRPr="00BF435D">
              <w:rPr>
                <w:rFonts w:ascii="Times New Roman" w:eastAsia="Times New Roman" w:hAnsi="Times New Roman" w:cs="Times New Roman"/>
                <w:bCs/>
                <w:sz w:val="20"/>
                <w:szCs w:val="20"/>
                <w:lang w:eastAsia="ro-RO"/>
              </w:rPr>
              <w:t xml:space="preserve"> de la art.11 alin.(1). Scopul alineatului (1) este de a delimita serviciile și activitățile de investiții pe care consultantul de investiții le poate presta, în raport cu celelalte servicii și activități de investiții reglementate de proiect, iar nu de a limita ansamblul activității acestuia. </w:t>
            </w:r>
          </w:p>
        </w:tc>
      </w:tr>
      <w:tr w:rsidR="00CE1798" w:rsidRPr="00104D47" w14:paraId="353AF931" w14:textId="77777777" w:rsidTr="000B07F2">
        <w:trPr>
          <w:trHeight w:val="348"/>
          <w:jc w:val="center"/>
        </w:trPr>
        <w:tc>
          <w:tcPr>
            <w:tcW w:w="1197" w:type="pct"/>
            <w:vMerge/>
            <w:tcMar>
              <w:top w:w="24" w:type="dxa"/>
              <w:left w:w="48" w:type="dxa"/>
              <w:bottom w:w="24" w:type="dxa"/>
              <w:right w:w="48" w:type="dxa"/>
            </w:tcMar>
            <w:vAlign w:val="center"/>
          </w:tcPr>
          <w:p w14:paraId="4C27C905" w14:textId="77777777" w:rsidR="00CE1798" w:rsidRPr="00C9452A" w:rsidRDefault="00CE1798" w:rsidP="00F2199A">
            <w:pPr>
              <w:spacing w:after="0" w:line="240" w:lineRule="auto"/>
              <w:rPr>
                <w:rFonts w:ascii="Times New Roman" w:eastAsia="Times New Roman" w:hAnsi="Times New Roman" w:cs="Times New Roman"/>
                <w:b/>
                <w:iCs/>
                <w:sz w:val="20"/>
                <w:szCs w:val="20"/>
                <w:lang w:val="ro-RO" w:eastAsia="ro-RO"/>
              </w:rPr>
            </w:pPr>
          </w:p>
        </w:tc>
        <w:tc>
          <w:tcPr>
            <w:tcW w:w="599" w:type="pct"/>
            <w:vMerge/>
            <w:tcMar>
              <w:top w:w="24" w:type="dxa"/>
              <w:left w:w="48" w:type="dxa"/>
              <w:bottom w:w="24" w:type="dxa"/>
              <w:right w:w="48" w:type="dxa"/>
            </w:tcMar>
            <w:vAlign w:val="center"/>
          </w:tcPr>
          <w:p w14:paraId="2D57AC4B" w14:textId="77777777" w:rsidR="00CE1798" w:rsidRDefault="00CE1798" w:rsidP="00F2199A">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17798D2B" w14:textId="77777777" w:rsidR="00CE1798" w:rsidRDefault="00C67D9A" w:rsidP="00F2199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19</w:t>
            </w:r>
          </w:p>
        </w:tc>
        <w:tc>
          <w:tcPr>
            <w:tcW w:w="1747" w:type="pct"/>
            <w:tcMar>
              <w:top w:w="24" w:type="dxa"/>
              <w:left w:w="48" w:type="dxa"/>
              <w:bottom w:w="24" w:type="dxa"/>
              <w:right w:w="48" w:type="dxa"/>
            </w:tcMar>
            <w:vAlign w:val="center"/>
          </w:tcPr>
          <w:p w14:paraId="2D296EE2" w14:textId="77777777" w:rsidR="00CE1798" w:rsidRPr="00AB4FC1" w:rsidRDefault="00CE1798" w:rsidP="008F2120">
            <w:pPr>
              <w:spacing w:after="0" w:line="240" w:lineRule="auto"/>
              <w:ind w:right="98"/>
              <w:jc w:val="both"/>
              <w:rPr>
                <w:rFonts w:ascii="Times New Roman" w:hAnsi="Times New Roman" w:cs="Times New Roman"/>
                <w:sz w:val="20"/>
                <w:szCs w:val="20"/>
              </w:rPr>
            </w:pPr>
            <w:r w:rsidRPr="00AB4FC1">
              <w:rPr>
                <w:rFonts w:ascii="Times New Roman" w:hAnsi="Times New Roman" w:cs="Times New Roman"/>
                <w:sz w:val="20"/>
                <w:szCs w:val="20"/>
              </w:rPr>
              <w:t>Totodată, în opinia noastră ar fi în favoarea păstrării potențialului existent de profesioniști pe piața de capital completarea art.11 alin.(1) din proiect cu următorul conținut:</w:t>
            </w:r>
          </w:p>
          <w:p w14:paraId="298F99C9" w14:textId="77777777" w:rsidR="00CE1798" w:rsidRPr="00AB4FC1" w:rsidRDefault="00CE1798" w:rsidP="008F2120">
            <w:pPr>
              <w:spacing w:after="0" w:line="240" w:lineRule="auto"/>
              <w:ind w:right="98"/>
              <w:jc w:val="both"/>
              <w:rPr>
                <w:rFonts w:ascii="Times New Roman" w:hAnsi="Times New Roman" w:cs="Times New Roman"/>
                <w:sz w:val="20"/>
                <w:szCs w:val="20"/>
              </w:rPr>
            </w:pPr>
            <w:r w:rsidRPr="00AB4FC1">
              <w:rPr>
                <w:rFonts w:ascii="Times New Roman" w:hAnsi="Times New Roman" w:cs="Times New Roman"/>
                <w:sz w:val="20"/>
                <w:szCs w:val="20"/>
              </w:rPr>
              <w:t xml:space="preserve">„c) servicii de consultanță prestate societăților, deținătorilor de instrumente financiare, investitorilor privind activitatea acestora, inclusiv în ceea ce privește structura capitalului, strategia </w:t>
            </w:r>
            <w:r w:rsidRPr="00AB4FC1">
              <w:rPr>
                <w:rFonts w:ascii="Times New Roman" w:hAnsi="Times New Roman" w:cs="Times New Roman"/>
                <w:sz w:val="20"/>
                <w:szCs w:val="20"/>
              </w:rPr>
              <w:lastRenderedPageBreak/>
              <w:t>industrială și aspectele conexe; consultanță și servicii în materie de fuziuni și achiziții de societăți.”</w:t>
            </w:r>
          </w:p>
        </w:tc>
        <w:tc>
          <w:tcPr>
            <w:tcW w:w="1273" w:type="pct"/>
            <w:tcMar>
              <w:top w:w="24" w:type="dxa"/>
              <w:left w:w="48" w:type="dxa"/>
              <w:bottom w:w="24" w:type="dxa"/>
              <w:right w:w="48" w:type="dxa"/>
            </w:tcMar>
            <w:vAlign w:val="center"/>
          </w:tcPr>
          <w:p w14:paraId="050B8B04" w14:textId="77777777" w:rsidR="00BF435D" w:rsidRPr="00AB4FC1" w:rsidRDefault="00E44A59" w:rsidP="00BF435D">
            <w:pPr>
              <w:spacing w:after="0" w:line="240" w:lineRule="auto"/>
              <w:jc w:val="both"/>
              <w:rPr>
                <w:rFonts w:ascii="Times New Roman" w:eastAsia="Times New Roman" w:hAnsi="Times New Roman" w:cs="Times New Roman"/>
                <w:b/>
                <w:sz w:val="20"/>
                <w:szCs w:val="20"/>
                <w:lang w:val="ro-RO" w:eastAsia="ro-RO"/>
              </w:rPr>
            </w:pPr>
            <w:r w:rsidRPr="00AB4FC1">
              <w:rPr>
                <w:rFonts w:ascii="Times New Roman" w:eastAsia="Times New Roman" w:hAnsi="Times New Roman" w:cs="Times New Roman"/>
                <w:b/>
                <w:sz w:val="20"/>
                <w:szCs w:val="20"/>
                <w:lang w:val="ro-RO" w:eastAsia="ro-RO"/>
              </w:rPr>
              <w:lastRenderedPageBreak/>
              <w:t>Nu se acceptă</w:t>
            </w:r>
          </w:p>
          <w:p w14:paraId="26E0C783" w14:textId="77777777" w:rsidR="00C83BBD" w:rsidRDefault="00AB4FC1" w:rsidP="00C83BBD">
            <w:pPr>
              <w:spacing w:after="0" w:line="240" w:lineRule="auto"/>
              <w:jc w:val="both"/>
              <w:rPr>
                <w:rFonts w:ascii="Times New Roman" w:eastAsia="Times New Roman" w:hAnsi="Times New Roman" w:cs="Times New Roman"/>
                <w:bCs/>
                <w:sz w:val="20"/>
                <w:szCs w:val="20"/>
                <w:lang w:eastAsia="ro-RO"/>
              </w:rPr>
            </w:pPr>
            <w:r w:rsidRPr="00AB4FC1">
              <w:rPr>
                <w:rFonts w:ascii="Times New Roman" w:eastAsia="Times New Roman" w:hAnsi="Times New Roman" w:cs="Times New Roman"/>
                <w:bCs/>
                <w:sz w:val="20"/>
                <w:szCs w:val="20"/>
                <w:lang w:eastAsia="ro-RO"/>
              </w:rPr>
              <w:t xml:space="preserve">Serviciile propuse (consultanță privind structura capitalului, strategia industrială, fuziuni și achiziții) constituie un serviciu auxiliar (art.9 alin.(2) lit.c)), iar nu un serviciu de investiții de bază. </w:t>
            </w:r>
          </w:p>
          <w:p w14:paraId="1852A2C4" w14:textId="77777777" w:rsidR="002A51EA" w:rsidRPr="00AB4FC1" w:rsidRDefault="00AB4FC1" w:rsidP="00C83BBD">
            <w:pPr>
              <w:spacing w:after="0" w:line="240" w:lineRule="auto"/>
              <w:jc w:val="both"/>
              <w:rPr>
                <w:rFonts w:ascii="Times New Roman" w:eastAsia="Times New Roman" w:hAnsi="Times New Roman" w:cs="Times New Roman"/>
                <w:b/>
                <w:sz w:val="20"/>
                <w:szCs w:val="20"/>
                <w:lang w:val="ro-RO" w:eastAsia="ro-RO"/>
              </w:rPr>
            </w:pPr>
            <w:r w:rsidRPr="00AB4FC1">
              <w:rPr>
                <w:rFonts w:ascii="Times New Roman" w:eastAsia="Times New Roman" w:hAnsi="Times New Roman" w:cs="Times New Roman"/>
                <w:bCs/>
                <w:sz w:val="20"/>
                <w:szCs w:val="20"/>
                <w:lang w:eastAsia="ro-RO"/>
              </w:rPr>
              <w:lastRenderedPageBreak/>
              <w:t>Potrivit art.14 alin.(1)</w:t>
            </w:r>
            <w:r w:rsidR="002A51EA">
              <w:rPr>
                <w:rFonts w:ascii="Times New Roman" w:eastAsia="Times New Roman" w:hAnsi="Times New Roman" w:cs="Times New Roman"/>
                <w:bCs/>
                <w:sz w:val="20"/>
                <w:szCs w:val="20"/>
                <w:lang w:eastAsia="ro-RO"/>
              </w:rPr>
              <w:t>,</w:t>
            </w:r>
            <w:r w:rsidRPr="00AB4FC1">
              <w:rPr>
                <w:rFonts w:ascii="Times New Roman" w:eastAsia="Times New Roman" w:hAnsi="Times New Roman" w:cs="Times New Roman"/>
                <w:bCs/>
                <w:sz w:val="20"/>
                <w:szCs w:val="20"/>
                <w:lang w:eastAsia="ro-RO"/>
              </w:rPr>
              <w:t xml:space="preserve"> care transpune art.6 alin.(1) din Directiva 2014/65/UE</w:t>
            </w:r>
            <w:r w:rsidR="002A51EA">
              <w:rPr>
                <w:rFonts w:ascii="Times New Roman" w:eastAsia="Times New Roman" w:hAnsi="Times New Roman" w:cs="Times New Roman"/>
                <w:bCs/>
                <w:sz w:val="20"/>
                <w:szCs w:val="20"/>
                <w:lang w:eastAsia="ro-RO"/>
              </w:rPr>
              <w:t xml:space="preserve">, </w:t>
            </w:r>
            <w:r w:rsidRPr="00AB4FC1">
              <w:rPr>
                <w:rFonts w:ascii="Times New Roman" w:eastAsia="Times New Roman" w:hAnsi="Times New Roman" w:cs="Times New Roman"/>
                <w:bCs/>
                <w:sz w:val="20"/>
                <w:szCs w:val="20"/>
                <w:lang w:eastAsia="ro-RO"/>
              </w:rPr>
              <w:t xml:space="preserve">o autorizație nu poate cuprinde exclusiv servicii auxiliare, acestea prestându-se alături de un serviciu de investiții de bază; ele nu pot fi, prin urmare, enumerate la art.11 alin.(1), regimul consultantului de investiții (exonerarea prevăzută la art.3 din </w:t>
            </w:r>
            <w:r w:rsidR="002A51EA">
              <w:rPr>
                <w:rFonts w:ascii="Times New Roman" w:eastAsia="Times New Roman" w:hAnsi="Times New Roman" w:cs="Times New Roman"/>
                <w:bCs/>
                <w:sz w:val="20"/>
                <w:szCs w:val="20"/>
                <w:lang w:eastAsia="ro-RO"/>
              </w:rPr>
              <w:t>D</w:t>
            </w:r>
            <w:r w:rsidRPr="00AB4FC1">
              <w:rPr>
                <w:rFonts w:ascii="Times New Roman" w:eastAsia="Times New Roman" w:hAnsi="Times New Roman" w:cs="Times New Roman"/>
                <w:bCs/>
                <w:sz w:val="20"/>
                <w:szCs w:val="20"/>
                <w:lang w:eastAsia="ro-RO"/>
              </w:rPr>
              <w:t>irectivă) fiind limitat la consultanța de investiții</w:t>
            </w:r>
            <w:r w:rsidR="00C83BBD">
              <w:rPr>
                <w:rFonts w:ascii="Times New Roman" w:eastAsia="Times New Roman" w:hAnsi="Times New Roman" w:cs="Times New Roman"/>
                <w:bCs/>
                <w:sz w:val="20"/>
                <w:szCs w:val="20"/>
                <w:lang w:eastAsia="ro-RO"/>
              </w:rPr>
              <w:t xml:space="preserve"> (și doar </w:t>
            </w:r>
            <w:r w:rsidR="00C83BBD" w:rsidRPr="00C83BBD">
              <w:rPr>
                <w:rFonts w:ascii="Times New Roman" w:eastAsia="Times New Roman" w:hAnsi="Times New Roman" w:cs="Times New Roman"/>
                <w:bCs/>
                <w:sz w:val="20"/>
                <w:szCs w:val="20"/>
                <w:lang w:eastAsia="ro-RO"/>
              </w:rPr>
              <w:t xml:space="preserve">în privința instrumentelor financiare specificate la </w:t>
            </w:r>
            <w:r w:rsidR="00C83BBD">
              <w:rPr>
                <w:rFonts w:ascii="Times New Roman" w:eastAsia="Times New Roman" w:hAnsi="Times New Roman" w:cs="Times New Roman"/>
                <w:bCs/>
                <w:sz w:val="20"/>
                <w:szCs w:val="20"/>
                <w:lang w:eastAsia="ro-RO"/>
              </w:rPr>
              <w:t xml:space="preserve">art.11 alin.(1) </w:t>
            </w:r>
            <w:r w:rsidR="00C83BBD" w:rsidRPr="00C83BBD">
              <w:rPr>
                <w:rFonts w:ascii="Times New Roman" w:eastAsia="Times New Roman" w:hAnsi="Times New Roman" w:cs="Times New Roman"/>
                <w:bCs/>
                <w:sz w:val="20"/>
                <w:szCs w:val="20"/>
                <w:lang w:eastAsia="ro-RO"/>
              </w:rPr>
              <w:t>lit.a)</w:t>
            </w:r>
            <w:r w:rsidR="00C83BBD">
              <w:rPr>
                <w:rFonts w:ascii="Times New Roman" w:eastAsia="Times New Roman" w:hAnsi="Times New Roman" w:cs="Times New Roman"/>
                <w:bCs/>
                <w:sz w:val="20"/>
                <w:szCs w:val="20"/>
                <w:lang w:eastAsia="ro-RO"/>
              </w:rPr>
              <w:t>)</w:t>
            </w:r>
            <w:r w:rsidRPr="00AB4FC1">
              <w:rPr>
                <w:rFonts w:ascii="Times New Roman" w:eastAsia="Times New Roman" w:hAnsi="Times New Roman" w:cs="Times New Roman"/>
                <w:bCs/>
                <w:sz w:val="20"/>
                <w:szCs w:val="20"/>
                <w:lang w:eastAsia="ro-RO"/>
              </w:rPr>
              <w:t xml:space="preserve"> și la primirea și transmiterea ordinelor</w:t>
            </w:r>
            <w:r w:rsidR="00C83BBD">
              <w:rPr>
                <w:rFonts w:ascii="Times New Roman" w:eastAsia="Times New Roman" w:hAnsi="Times New Roman" w:cs="Times New Roman"/>
                <w:bCs/>
                <w:sz w:val="20"/>
                <w:szCs w:val="20"/>
                <w:lang w:eastAsia="ro-RO"/>
              </w:rPr>
              <w:t xml:space="preserve"> (în limitele prevăzute la art.11).</w:t>
            </w:r>
          </w:p>
        </w:tc>
      </w:tr>
      <w:tr w:rsidR="00CE1798" w:rsidRPr="00104D47" w14:paraId="624606B9" w14:textId="77777777" w:rsidTr="000B07F2">
        <w:trPr>
          <w:trHeight w:val="348"/>
          <w:jc w:val="center"/>
        </w:trPr>
        <w:tc>
          <w:tcPr>
            <w:tcW w:w="1197" w:type="pct"/>
            <w:vMerge/>
            <w:tcMar>
              <w:top w:w="24" w:type="dxa"/>
              <w:left w:w="48" w:type="dxa"/>
              <w:bottom w:w="24" w:type="dxa"/>
              <w:right w:w="48" w:type="dxa"/>
            </w:tcMar>
            <w:vAlign w:val="center"/>
          </w:tcPr>
          <w:p w14:paraId="3276AB49" w14:textId="77777777" w:rsidR="00CE1798" w:rsidRPr="00C9452A" w:rsidRDefault="00CE1798" w:rsidP="008F2120">
            <w:pPr>
              <w:spacing w:after="0" w:line="240" w:lineRule="auto"/>
              <w:rPr>
                <w:rFonts w:ascii="Times New Roman" w:eastAsia="Times New Roman" w:hAnsi="Times New Roman" w:cs="Times New Roman"/>
                <w:b/>
                <w:iCs/>
                <w:sz w:val="20"/>
                <w:szCs w:val="20"/>
                <w:lang w:val="ro-RO" w:eastAsia="ro-RO"/>
              </w:rPr>
            </w:pPr>
          </w:p>
        </w:tc>
        <w:tc>
          <w:tcPr>
            <w:tcW w:w="599" w:type="pct"/>
            <w:vMerge/>
            <w:tcMar>
              <w:top w:w="24" w:type="dxa"/>
              <w:left w:w="48" w:type="dxa"/>
              <w:bottom w:w="24" w:type="dxa"/>
              <w:right w:w="48" w:type="dxa"/>
            </w:tcMar>
            <w:vAlign w:val="center"/>
          </w:tcPr>
          <w:p w14:paraId="0D95EB3C" w14:textId="77777777" w:rsidR="00CE1798" w:rsidRDefault="00CE1798"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4B6E1CDC" w14:textId="77777777" w:rsidR="00CE1798" w:rsidRDefault="00C67D9A"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20</w:t>
            </w:r>
          </w:p>
        </w:tc>
        <w:tc>
          <w:tcPr>
            <w:tcW w:w="1747" w:type="pct"/>
            <w:tcMar>
              <w:top w:w="24" w:type="dxa"/>
              <w:left w:w="48" w:type="dxa"/>
              <w:bottom w:w="24" w:type="dxa"/>
              <w:right w:w="48" w:type="dxa"/>
            </w:tcMar>
            <w:vAlign w:val="center"/>
          </w:tcPr>
          <w:p w14:paraId="5A560960" w14:textId="77777777" w:rsidR="00CE1798" w:rsidRPr="00744A35" w:rsidRDefault="00CE1798" w:rsidP="008F2120">
            <w:pPr>
              <w:spacing w:after="0" w:line="240" w:lineRule="auto"/>
              <w:ind w:right="98"/>
              <w:jc w:val="both"/>
              <w:rPr>
                <w:rFonts w:ascii="Times New Roman" w:hAnsi="Times New Roman" w:cs="Times New Roman"/>
                <w:sz w:val="20"/>
                <w:szCs w:val="20"/>
              </w:rPr>
            </w:pPr>
            <w:r w:rsidRPr="00744A35">
              <w:rPr>
                <w:rFonts w:ascii="Times New Roman" w:hAnsi="Times New Roman" w:cs="Times New Roman"/>
                <w:sz w:val="20"/>
                <w:szCs w:val="20"/>
              </w:rPr>
              <w:t>În cazul formulării cerințelor față de structura decizională a entităților-subiecte ale proiectului de lege și evitarea creării unor organe de conducere-consilii formale, pentru asigurarea uni abordări proporționale raportate la dimensiunea respectivelor entități prin prisma numărului de acționari/asociați, propunem aplicarea prevederilor expuse la art.18-21 în partea ce se referă la obligativitatea organizării gestiunii corporative prin constituirea consiliilor doar entităților – subiecte ale proiectului de lege care sunt semnificative ca mărime, aplicând standarde de organizare a gestiunii corporative prevăzute de Legea 1134/1997 privind societățile pe acțiuni ( nu toate societățile pe acțiuni sunt obligate să creeze consilii în calitate de organ de conducere subordonat adunării generale a acționarilor.)</w:t>
            </w:r>
          </w:p>
          <w:p w14:paraId="31B27F78" w14:textId="77777777" w:rsidR="00CE1798" w:rsidRPr="00744A35" w:rsidRDefault="00CE1798" w:rsidP="008F2120">
            <w:pPr>
              <w:spacing w:after="0" w:line="240" w:lineRule="auto"/>
              <w:ind w:right="98"/>
              <w:jc w:val="both"/>
              <w:rPr>
                <w:rFonts w:ascii="Times New Roman" w:hAnsi="Times New Roman" w:cs="Times New Roman"/>
                <w:sz w:val="20"/>
                <w:szCs w:val="20"/>
              </w:rPr>
            </w:pPr>
            <w:r w:rsidRPr="00744A35">
              <w:rPr>
                <w:rFonts w:ascii="Times New Roman" w:hAnsi="Times New Roman" w:cs="Times New Roman"/>
                <w:sz w:val="20"/>
                <w:szCs w:val="20"/>
              </w:rPr>
              <w:t>Totodată menționăm că fiind extinse conform proiectului pentru aplicare și consultantului de investiții respectivele cerințe (art.18-21) din start devin inaplicabile și o barieră legislativă în sensul autorizării consultantului de investiții în formula prevăzută de proiectul de lege. Astfel propunem, de</w:t>
            </w:r>
            <w:r w:rsidR="00431A68">
              <w:rPr>
                <w:rFonts w:ascii="Times New Roman" w:hAnsi="Times New Roman" w:cs="Times New Roman"/>
                <w:sz w:val="20"/>
                <w:szCs w:val="20"/>
              </w:rPr>
              <w:t xml:space="preserve"> </w:t>
            </w:r>
            <w:r w:rsidRPr="00744A35">
              <w:rPr>
                <w:rFonts w:ascii="Times New Roman" w:hAnsi="Times New Roman" w:cs="Times New Roman"/>
                <w:sz w:val="20"/>
                <w:szCs w:val="20"/>
              </w:rPr>
              <w:t>asemenea, excluderea referinței la art.18-21 din textul prevederilor expuse la art.11 alin.(4) lit.a).</w:t>
            </w:r>
          </w:p>
        </w:tc>
        <w:tc>
          <w:tcPr>
            <w:tcW w:w="1273" w:type="pct"/>
            <w:tcMar>
              <w:top w:w="24" w:type="dxa"/>
              <w:left w:w="48" w:type="dxa"/>
              <w:bottom w:w="24" w:type="dxa"/>
              <w:right w:w="48" w:type="dxa"/>
            </w:tcMar>
            <w:vAlign w:val="center"/>
          </w:tcPr>
          <w:p w14:paraId="27D0DF09" w14:textId="77777777" w:rsidR="00CE1798" w:rsidRDefault="00AB4FC1"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Se acceptă parțial</w:t>
            </w:r>
          </w:p>
          <w:p w14:paraId="130917D7" w14:textId="77777777" w:rsidR="00255DA7" w:rsidRDefault="00255DA7" w:rsidP="00FE2E74">
            <w:pPr>
              <w:spacing w:after="0" w:line="240" w:lineRule="auto"/>
              <w:jc w:val="both"/>
              <w:rPr>
                <w:rFonts w:ascii="Times New Roman" w:eastAsia="Times New Roman" w:hAnsi="Times New Roman" w:cs="Times New Roman"/>
                <w:bCs/>
                <w:sz w:val="20"/>
                <w:szCs w:val="20"/>
                <w:lang w:val="ro-RO" w:eastAsia="ro-RO"/>
              </w:rPr>
            </w:pPr>
          </w:p>
          <w:p w14:paraId="5EE45617" w14:textId="77777777" w:rsidR="00FE2E74" w:rsidRPr="00FE2E74" w:rsidRDefault="00FE2E74" w:rsidP="00FE2E74">
            <w:pPr>
              <w:spacing w:after="0" w:line="240" w:lineRule="auto"/>
              <w:jc w:val="both"/>
              <w:rPr>
                <w:rFonts w:ascii="Times New Roman" w:eastAsia="Times New Roman" w:hAnsi="Times New Roman" w:cs="Times New Roman"/>
                <w:bCs/>
                <w:sz w:val="20"/>
                <w:szCs w:val="20"/>
                <w:lang w:val="ro-RO" w:eastAsia="ro-RO"/>
              </w:rPr>
            </w:pPr>
            <w:r w:rsidRPr="00FE2E74">
              <w:rPr>
                <w:rFonts w:ascii="Times New Roman" w:eastAsia="Times New Roman" w:hAnsi="Times New Roman" w:cs="Times New Roman"/>
                <w:bCs/>
                <w:sz w:val="20"/>
                <w:szCs w:val="20"/>
                <w:lang w:val="ro-RO" w:eastAsia="ro-RO"/>
              </w:rPr>
              <w:t>Se acceptă necesitatea aplicării proporționale a cerințelor de guvernanță corporativă în cazul consultanților de investiții.</w:t>
            </w:r>
          </w:p>
          <w:p w14:paraId="78C79907" w14:textId="77777777" w:rsidR="00FE2E74" w:rsidRPr="00FE2E74" w:rsidRDefault="00FE2E74" w:rsidP="00FE2E74">
            <w:pPr>
              <w:spacing w:after="0" w:line="240" w:lineRule="auto"/>
              <w:jc w:val="both"/>
              <w:rPr>
                <w:rFonts w:ascii="Times New Roman" w:eastAsia="Times New Roman" w:hAnsi="Times New Roman" w:cs="Times New Roman"/>
                <w:bCs/>
                <w:sz w:val="20"/>
                <w:szCs w:val="20"/>
                <w:lang w:val="ro-RO" w:eastAsia="ro-RO"/>
              </w:rPr>
            </w:pPr>
            <w:r w:rsidRPr="00FE2E74">
              <w:rPr>
                <w:rFonts w:ascii="Times New Roman" w:eastAsia="Times New Roman" w:hAnsi="Times New Roman" w:cs="Times New Roman"/>
                <w:bCs/>
                <w:sz w:val="20"/>
                <w:szCs w:val="20"/>
                <w:lang w:val="ro-RO" w:eastAsia="ro-RO"/>
              </w:rPr>
              <w:t>Nu poate fi însă reținută propunerea de excludere integrală a trimiterii la art.18-21 din art.11 alin.(4) lit.a), pentru următoarele considerente:</w:t>
            </w:r>
          </w:p>
          <w:p w14:paraId="1C46983B" w14:textId="77777777" w:rsidR="00744A35" w:rsidRDefault="00FE2E74" w:rsidP="001A17EB">
            <w:pPr>
              <w:spacing w:after="0" w:line="240" w:lineRule="auto"/>
              <w:jc w:val="both"/>
              <w:rPr>
                <w:rFonts w:ascii="Times New Roman" w:eastAsia="Times New Roman" w:hAnsi="Times New Roman" w:cs="Times New Roman"/>
                <w:bCs/>
                <w:sz w:val="20"/>
                <w:szCs w:val="20"/>
                <w:lang w:val="ro-RO" w:eastAsia="ro-RO"/>
              </w:rPr>
            </w:pPr>
            <w:r w:rsidRPr="00FE2E74">
              <w:rPr>
                <w:rFonts w:ascii="Times New Roman" w:eastAsia="Times New Roman" w:hAnsi="Times New Roman" w:cs="Times New Roman"/>
                <w:bCs/>
                <w:sz w:val="20"/>
                <w:szCs w:val="20"/>
                <w:lang w:val="ro-RO" w:eastAsia="ro-RO"/>
              </w:rPr>
              <w:t xml:space="preserve">Articolul 11 din proiect transpune exonerarea facultativă prevăzută la art.3 din Directiva 2014/65/UE. Potrivit art.3 alin.(2) lit.a) din Directivă, persoanele cărora statul membru le aplică acest regim trebuie să fie supuse unor cerințe „cel puțin </w:t>
            </w:r>
            <w:r w:rsidR="001A17EB">
              <w:rPr>
                <w:rFonts w:ascii="Times New Roman" w:eastAsia="Times New Roman" w:hAnsi="Times New Roman" w:cs="Times New Roman"/>
                <w:bCs/>
                <w:sz w:val="20"/>
                <w:szCs w:val="20"/>
                <w:lang w:val="ro-RO" w:eastAsia="ro-RO"/>
              </w:rPr>
              <w:t>echivalente”</w:t>
            </w:r>
            <w:r w:rsidRPr="00FE2E74">
              <w:rPr>
                <w:rFonts w:ascii="Times New Roman" w:eastAsia="Times New Roman" w:hAnsi="Times New Roman" w:cs="Times New Roman"/>
                <w:bCs/>
                <w:sz w:val="20"/>
                <w:szCs w:val="20"/>
                <w:lang w:val="ro-RO" w:eastAsia="ro-RO"/>
              </w:rPr>
              <w:t xml:space="preserve"> condițiilor de autorizare și supraveghere prevăzute la art.7-10 din Directivă, între care art.9 </w:t>
            </w:r>
            <w:r w:rsidR="001A17EB">
              <w:rPr>
                <w:rFonts w:ascii="Times New Roman" w:eastAsia="Times New Roman" w:hAnsi="Times New Roman" w:cs="Times New Roman"/>
                <w:bCs/>
                <w:sz w:val="20"/>
                <w:szCs w:val="20"/>
                <w:lang w:val="ro-RO" w:eastAsia="ro-RO"/>
              </w:rPr>
              <w:t xml:space="preserve">– </w:t>
            </w:r>
            <w:r w:rsidRPr="00FE2E74">
              <w:rPr>
                <w:rFonts w:ascii="Times New Roman" w:eastAsia="Times New Roman" w:hAnsi="Times New Roman" w:cs="Times New Roman"/>
                <w:bCs/>
                <w:sz w:val="20"/>
                <w:szCs w:val="20"/>
                <w:lang w:val="ro-RO" w:eastAsia="ro-RO"/>
              </w:rPr>
              <w:t xml:space="preserve">organul de conducere. </w:t>
            </w:r>
          </w:p>
          <w:p w14:paraId="5B4ADE7B" w14:textId="77777777" w:rsidR="001A17EB" w:rsidRPr="001A17EB" w:rsidRDefault="001A17EB" w:rsidP="001A17EB">
            <w:pPr>
              <w:spacing w:after="0" w:line="240" w:lineRule="auto"/>
              <w:jc w:val="both"/>
              <w:rPr>
                <w:rFonts w:ascii="Times New Roman" w:eastAsia="Times New Roman" w:hAnsi="Times New Roman" w:cs="Times New Roman"/>
                <w:bCs/>
                <w:sz w:val="20"/>
                <w:szCs w:val="20"/>
                <w:lang w:val="ro-RO" w:eastAsia="ro-RO"/>
              </w:rPr>
            </w:pPr>
            <w:r w:rsidRPr="001A17EB">
              <w:rPr>
                <w:rFonts w:ascii="Times New Roman" w:eastAsia="Times New Roman" w:hAnsi="Times New Roman" w:cs="Times New Roman"/>
                <w:bCs/>
                <w:sz w:val="20"/>
                <w:szCs w:val="20"/>
                <w:lang w:val="ro-RO" w:eastAsia="ro-RO"/>
              </w:rPr>
              <w:t>În acest sens, art.11 alin.(12) prevede că, în cazul consultanților de investiții, dispozițiile alin.(4) se aplică proporțional, CNPF stabilind cerințele aplicabile, diferențiat, consultanților persoane fizice și persoane juridice</w:t>
            </w:r>
            <w:r>
              <w:rPr>
                <w:rFonts w:ascii="Times New Roman" w:eastAsia="Times New Roman" w:hAnsi="Times New Roman" w:cs="Times New Roman"/>
                <w:bCs/>
                <w:sz w:val="20"/>
                <w:szCs w:val="20"/>
                <w:lang w:val="ro-RO" w:eastAsia="ro-RO"/>
              </w:rPr>
              <w:t>.</w:t>
            </w:r>
          </w:p>
        </w:tc>
      </w:tr>
      <w:tr w:rsidR="008F2120" w:rsidRPr="00104D47" w14:paraId="7269E66F" w14:textId="77777777" w:rsidTr="000B07F2">
        <w:trPr>
          <w:jc w:val="center"/>
        </w:trPr>
        <w:tc>
          <w:tcPr>
            <w:tcW w:w="1197" w:type="pct"/>
            <w:vMerge w:val="restart"/>
            <w:tcMar>
              <w:top w:w="24" w:type="dxa"/>
              <w:left w:w="48" w:type="dxa"/>
              <w:bottom w:w="24" w:type="dxa"/>
              <w:right w:w="48" w:type="dxa"/>
            </w:tcMar>
            <w:vAlign w:val="center"/>
          </w:tcPr>
          <w:p w14:paraId="337CD295" w14:textId="77777777" w:rsidR="008F2120" w:rsidRPr="00A41C3A" w:rsidRDefault="008F2120" w:rsidP="008F2120">
            <w:pPr>
              <w:pStyle w:val="Listparagraf"/>
              <w:tabs>
                <w:tab w:val="left" w:pos="426"/>
              </w:tabs>
              <w:spacing w:after="0" w:line="240" w:lineRule="auto"/>
              <w:ind w:left="0"/>
              <w:rPr>
                <w:rFonts w:ascii="Times New Roman" w:hAnsi="Times New Roman" w:cs="Times New Roman"/>
                <w:b/>
                <w:sz w:val="20"/>
                <w:szCs w:val="20"/>
              </w:rPr>
            </w:pPr>
            <w:r w:rsidRPr="00A41C3A">
              <w:rPr>
                <w:rFonts w:ascii="Times New Roman" w:hAnsi="Times New Roman" w:cs="Times New Roman"/>
                <w:b/>
                <w:sz w:val="20"/>
                <w:szCs w:val="20"/>
              </w:rPr>
              <w:lastRenderedPageBreak/>
              <w:t xml:space="preserve">Articolul 16. Retragerea autorizației </w:t>
            </w:r>
          </w:p>
          <w:p w14:paraId="56A75CC5" w14:textId="77777777" w:rsidR="008F2120" w:rsidRPr="00BF43C2" w:rsidRDefault="008F2120" w:rsidP="008F2120">
            <w:pPr>
              <w:pStyle w:val="Listparagraf"/>
              <w:tabs>
                <w:tab w:val="left" w:pos="426"/>
              </w:tabs>
              <w:spacing w:after="0" w:line="240" w:lineRule="auto"/>
              <w:ind w:left="0"/>
              <w:rPr>
                <w:rFonts w:ascii="Times New Roman" w:hAnsi="Times New Roman" w:cs="Times New Roman"/>
                <w:sz w:val="20"/>
                <w:szCs w:val="20"/>
                <w:lang w:val="ro-RO"/>
              </w:rPr>
            </w:pPr>
            <w:r w:rsidRPr="00BF43C2">
              <w:rPr>
                <w:rFonts w:ascii="Times New Roman" w:hAnsi="Times New Roman" w:cs="Times New Roman"/>
                <w:sz w:val="20"/>
                <w:szCs w:val="20"/>
                <w:lang w:val="ro-RO"/>
              </w:rPr>
              <w:t>(1) CNPF poate retrage autorizația de firmă de investiții în cazul în care:</w:t>
            </w:r>
          </w:p>
          <w:p w14:paraId="6D9EC5B5" w14:textId="77777777" w:rsidR="008F2120" w:rsidRPr="00603FF0" w:rsidRDefault="008F2120" w:rsidP="008F2120">
            <w:pPr>
              <w:pStyle w:val="Listparagraf"/>
              <w:tabs>
                <w:tab w:val="left" w:pos="426"/>
              </w:tabs>
              <w:spacing w:after="0" w:line="240" w:lineRule="auto"/>
              <w:ind w:left="0"/>
              <w:rPr>
                <w:rFonts w:ascii="Times New Roman" w:hAnsi="Times New Roman" w:cs="Times New Roman"/>
                <w:b/>
                <w:sz w:val="20"/>
                <w:szCs w:val="20"/>
                <w:highlight w:val="yellow"/>
              </w:rPr>
            </w:pPr>
            <w:r w:rsidRPr="00B739FA">
              <w:rPr>
                <w:rFonts w:ascii="Times New Roman" w:hAnsi="Times New Roman" w:cs="Times New Roman"/>
                <w:sz w:val="20"/>
                <w:szCs w:val="20"/>
                <w:lang w:val="fr-FR"/>
              </w:rPr>
              <w:t xml:space="preserve">[…] </w:t>
            </w:r>
            <w:r w:rsidRPr="00BF43C2">
              <w:rPr>
                <w:rFonts w:ascii="Times New Roman" w:hAnsi="Times New Roman" w:cs="Times New Roman"/>
                <w:sz w:val="20"/>
                <w:szCs w:val="20"/>
                <w:lang w:val="ro-RO"/>
              </w:rPr>
              <w:t>b) firma de investiții nu utilizează autorizaţia în termen de 12 luni sau a încetat să mai presteze servicii de investiții sau să exercite activitate de investiții în ultimele 6 luni;</w:t>
            </w:r>
          </w:p>
        </w:tc>
        <w:tc>
          <w:tcPr>
            <w:tcW w:w="599" w:type="pct"/>
            <w:tcMar>
              <w:top w:w="24" w:type="dxa"/>
              <w:left w:w="48" w:type="dxa"/>
              <w:bottom w:w="24" w:type="dxa"/>
              <w:right w:w="48" w:type="dxa"/>
            </w:tcMar>
            <w:vAlign w:val="center"/>
          </w:tcPr>
          <w:p w14:paraId="7F13B047"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Energbank</w:t>
            </w:r>
          </w:p>
          <w:p w14:paraId="315E99FE" w14:textId="77777777" w:rsidR="008A1D50"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nr.08/04/617 din 15.05.2026)</w:t>
            </w:r>
          </w:p>
        </w:tc>
        <w:tc>
          <w:tcPr>
            <w:tcW w:w="184" w:type="pct"/>
            <w:tcMar>
              <w:top w:w="24" w:type="dxa"/>
              <w:left w:w="48" w:type="dxa"/>
              <w:bottom w:w="24" w:type="dxa"/>
              <w:right w:w="48" w:type="dxa"/>
            </w:tcMar>
            <w:vAlign w:val="center"/>
          </w:tcPr>
          <w:p w14:paraId="1546650A" w14:textId="77777777" w:rsidR="008F2120" w:rsidRDefault="00C67D9A"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21</w:t>
            </w:r>
          </w:p>
        </w:tc>
        <w:tc>
          <w:tcPr>
            <w:tcW w:w="1747" w:type="pct"/>
            <w:tcMar>
              <w:top w:w="24" w:type="dxa"/>
              <w:left w:w="48" w:type="dxa"/>
              <w:bottom w:w="24" w:type="dxa"/>
              <w:right w:w="48" w:type="dxa"/>
            </w:tcMar>
            <w:vAlign w:val="center"/>
          </w:tcPr>
          <w:p w14:paraId="489EFA36"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La art.16 alin.(1) se propune reformularea normei astfel încât retragerea autorizației să intervină în cazul în care firma nu utilizează autorizația sau nu a prestat servicii de investiții în ultimele 12 luni, pentru a reflecta mai adecvat specificul și sezonalitatea anumitor activități investiționale.</w:t>
            </w:r>
          </w:p>
        </w:tc>
        <w:tc>
          <w:tcPr>
            <w:tcW w:w="1273" w:type="pct"/>
            <w:vMerge w:val="restart"/>
            <w:tcMar>
              <w:top w:w="24" w:type="dxa"/>
              <w:left w:w="48" w:type="dxa"/>
              <w:bottom w:w="24" w:type="dxa"/>
              <w:right w:w="48" w:type="dxa"/>
            </w:tcMar>
            <w:vAlign w:val="center"/>
          </w:tcPr>
          <w:p w14:paraId="15F1D1B2" w14:textId="77777777" w:rsidR="008F2120" w:rsidRPr="0089598C" w:rsidRDefault="00623E2C"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S</w:t>
            </w:r>
            <w:r w:rsidR="008F2120">
              <w:rPr>
                <w:rFonts w:ascii="Times New Roman" w:eastAsia="Times New Roman" w:hAnsi="Times New Roman" w:cs="Times New Roman"/>
                <w:b/>
                <w:sz w:val="20"/>
                <w:szCs w:val="20"/>
                <w:lang w:val="ro-RO" w:eastAsia="ro-RO"/>
              </w:rPr>
              <w:t>e acceptă</w:t>
            </w:r>
            <w:r w:rsidR="007254D7">
              <w:rPr>
                <w:rFonts w:ascii="Times New Roman" w:eastAsia="Times New Roman" w:hAnsi="Times New Roman" w:cs="Times New Roman"/>
                <w:b/>
                <w:sz w:val="20"/>
                <w:szCs w:val="20"/>
                <w:lang w:val="ro-RO" w:eastAsia="ro-RO"/>
              </w:rPr>
              <w:t xml:space="preserve"> parțial.</w:t>
            </w:r>
          </w:p>
          <w:p w14:paraId="7906589A" w14:textId="77777777" w:rsidR="007254D7" w:rsidRDefault="007254D7" w:rsidP="008F2120">
            <w:pPr>
              <w:spacing w:after="0" w:line="240" w:lineRule="auto"/>
              <w:jc w:val="both"/>
              <w:rPr>
                <w:rFonts w:ascii="Times New Roman" w:eastAsia="Times New Roman" w:hAnsi="Times New Roman" w:cs="Times New Roman"/>
                <w:sz w:val="20"/>
                <w:szCs w:val="20"/>
                <w:lang w:val="ro-RO" w:eastAsia="ro-RO"/>
              </w:rPr>
            </w:pPr>
            <w:r w:rsidRPr="007254D7">
              <w:rPr>
                <w:rFonts w:ascii="Times New Roman" w:eastAsia="Times New Roman" w:hAnsi="Times New Roman" w:cs="Times New Roman"/>
                <w:sz w:val="20"/>
                <w:szCs w:val="20"/>
                <w:lang w:val="ro-RO" w:eastAsia="ro-RO"/>
              </w:rPr>
              <w:t>Propunerea de a institui un termen unic de 12 luni nu poate fi reținută.</w:t>
            </w:r>
          </w:p>
          <w:p w14:paraId="0381FBF8" w14:textId="77777777" w:rsidR="008F2120" w:rsidRDefault="008F2120" w:rsidP="008F2120">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 xml:space="preserve">Art.8 alin.(1) lit. a) din Directiva </w:t>
            </w:r>
            <w:r w:rsidRPr="00AD6E02">
              <w:rPr>
                <w:rFonts w:ascii="Times New Roman" w:hAnsi="Times New Roman" w:cs="Times New Roman"/>
                <w:sz w:val="20"/>
                <w:szCs w:val="20"/>
                <w:lang w:val="ro-RO" w:eastAsia="ro-RO"/>
              </w:rPr>
              <w:t xml:space="preserve">2014/65/UE </w:t>
            </w:r>
            <w:r>
              <w:rPr>
                <w:rFonts w:ascii="Times New Roman" w:eastAsia="Times New Roman" w:hAnsi="Times New Roman" w:cs="Times New Roman"/>
                <w:sz w:val="20"/>
                <w:szCs w:val="20"/>
                <w:lang w:val="ro-RO" w:eastAsia="ro-RO"/>
              </w:rPr>
              <w:t>privind piețele instrumentelor financiare stabilește expres că: „</w:t>
            </w:r>
            <w:r>
              <w:rPr>
                <w:rFonts w:ascii="Times New Roman" w:hAnsi="Times New Roman" w:cs="Times New Roman"/>
                <w:i/>
                <w:sz w:val="20"/>
                <w:szCs w:val="20"/>
                <w:shd w:val="clear" w:color="auto" w:fill="FFFFFF"/>
              </w:rPr>
              <w:t>Autoritățile competente pot retrage autorizația oricărei firme de investiții care nu utilizează autorizația în termen de 12 luni, renunță în mod expres la autorizație, nu a furnizat niciun serviciu de investiții sau nu a exercitat nicio activitate de investiții în ultimele șase luni, în afara cazurilor în care statul membru respectiv prevede caducitatea autorizației în asemenea situații</w:t>
            </w:r>
            <w:r>
              <w:rPr>
                <w:rFonts w:ascii="Times New Roman" w:eastAsia="Times New Roman" w:hAnsi="Times New Roman" w:cs="Times New Roman"/>
                <w:i/>
                <w:sz w:val="20"/>
                <w:szCs w:val="20"/>
                <w:lang w:val="ro-RO" w:eastAsia="ro-RO"/>
              </w:rPr>
              <w:t>”</w:t>
            </w:r>
            <w:r>
              <w:rPr>
                <w:rFonts w:ascii="Times New Roman" w:eastAsia="Times New Roman" w:hAnsi="Times New Roman" w:cs="Times New Roman"/>
                <w:sz w:val="20"/>
                <w:szCs w:val="20"/>
                <w:lang w:val="ro-RO" w:eastAsia="ro-RO"/>
              </w:rPr>
              <w:t xml:space="preserve">, </w:t>
            </w:r>
            <w:r w:rsidRPr="00235CEC">
              <w:rPr>
                <w:rFonts w:ascii="Times New Roman" w:eastAsia="Times New Roman" w:hAnsi="Times New Roman" w:cs="Times New Roman"/>
                <w:sz w:val="20"/>
                <w:szCs w:val="20"/>
                <w:lang w:val="ro-RO" w:eastAsia="ro-RO"/>
              </w:rPr>
              <w:t xml:space="preserve">instituind </w:t>
            </w:r>
            <w:r>
              <w:rPr>
                <w:rFonts w:ascii="Times New Roman" w:eastAsia="Times New Roman" w:hAnsi="Times New Roman" w:cs="Times New Roman"/>
                <w:sz w:val="20"/>
                <w:szCs w:val="20"/>
                <w:lang w:val="ro-RO" w:eastAsia="ro-RO"/>
              </w:rPr>
              <w:t>2</w:t>
            </w:r>
            <w:r w:rsidRPr="00235CEC">
              <w:rPr>
                <w:rFonts w:ascii="Times New Roman" w:eastAsia="Times New Roman" w:hAnsi="Times New Roman" w:cs="Times New Roman"/>
                <w:sz w:val="20"/>
                <w:szCs w:val="20"/>
                <w:lang w:val="ro-RO" w:eastAsia="ro-RO"/>
              </w:rPr>
              <w:t xml:space="preserve"> situații distincte cu termene diferite (12 luni pentru neutilizarea autorizației, respectiv 6 luni pentru încetarea prestării serviciilor sau a desfășurării activităților de investiții).</w:t>
            </w:r>
          </w:p>
          <w:p w14:paraId="2CABFB7D" w14:textId="77777777" w:rsidR="008F2120" w:rsidRDefault="008F2120" w:rsidP="008F2120">
            <w:pPr>
              <w:spacing w:after="0" w:line="240" w:lineRule="auto"/>
              <w:jc w:val="both"/>
              <w:rPr>
                <w:rFonts w:ascii="Times New Roman" w:eastAsia="Times New Roman" w:hAnsi="Times New Roman" w:cs="Times New Roman"/>
                <w:sz w:val="20"/>
                <w:szCs w:val="20"/>
                <w:lang w:val="ro-RO" w:eastAsia="ro-RO"/>
              </w:rPr>
            </w:pPr>
            <w:r w:rsidRPr="00235CEC">
              <w:rPr>
                <w:rFonts w:ascii="Times New Roman" w:eastAsia="Times New Roman" w:hAnsi="Times New Roman" w:cs="Times New Roman"/>
                <w:sz w:val="20"/>
                <w:szCs w:val="20"/>
                <w:lang w:val="ro-RO" w:eastAsia="ro-RO"/>
              </w:rPr>
              <w:t xml:space="preserve">Suplimentar, </w:t>
            </w:r>
            <w:r>
              <w:rPr>
                <w:rFonts w:ascii="Times New Roman" w:eastAsia="Times New Roman" w:hAnsi="Times New Roman" w:cs="Times New Roman"/>
                <w:sz w:val="20"/>
                <w:szCs w:val="20"/>
                <w:lang w:val="ro-RO" w:eastAsia="ro-RO"/>
              </w:rPr>
              <w:t xml:space="preserve">notăm că în prezent </w:t>
            </w:r>
            <w:r w:rsidRPr="00235CEC">
              <w:rPr>
                <w:rFonts w:ascii="Times New Roman" w:eastAsia="Times New Roman" w:hAnsi="Times New Roman" w:cs="Times New Roman"/>
                <w:sz w:val="20"/>
                <w:szCs w:val="20"/>
                <w:lang w:val="ro-RO" w:eastAsia="ro-RO"/>
              </w:rPr>
              <w:t>art.140 alin.(13) lit.a) din Legea nr. 171/2012 prevede o sancțiune similară, aplicată de CNPF cu luarea în considerare a specificului pieței, fără ca aceasta să fi generat dificultăți de aplicare practică.</w:t>
            </w:r>
          </w:p>
          <w:p w14:paraId="5CDBAC32" w14:textId="77777777" w:rsidR="00F32972" w:rsidRPr="00EE4A5C" w:rsidRDefault="007254D7" w:rsidP="008F2120">
            <w:pPr>
              <w:spacing w:after="0" w:line="240" w:lineRule="auto"/>
              <w:jc w:val="both"/>
              <w:rPr>
                <w:rFonts w:ascii="Times New Roman" w:eastAsia="Times New Roman" w:hAnsi="Times New Roman" w:cs="Times New Roman"/>
                <w:sz w:val="20"/>
                <w:szCs w:val="20"/>
                <w:lang w:val="ro-RO" w:eastAsia="ro-RO"/>
              </w:rPr>
            </w:pPr>
            <w:r w:rsidRPr="007254D7">
              <w:rPr>
                <w:rFonts w:ascii="Times New Roman" w:eastAsia="Times New Roman" w:hAnsi="Times New Roman" w:cs="Times New Roman"/>
                <w:sz w:val="20"/>
                <w:szCs w:val="20"/>
                <w:lang w:val="ro-RO" w:eastAsia="ro-RO"/>
              </w:rPr>
              <w:t xml:space="preserve">Totodată, pentru a reflecta specificul pieței financiare din Republica Moldova și a evita retragerea autorizației în situații </w:t>
            </w:r>
            <w:r>
              <w:rPr>
                <w:rFonts w:ascii="Times New Roman" w:eastAsia="Times New Roman" w:hAnsi="Times New Roman" w:cs="Times New Roman"/>
                <w:sz w:val="20"/>
                <w:szCs w:val="20"/>
                <w:lang w:val="ro-RO" w:eastAsia="ro-RO"/>
              </w:rPr>
              <w:t>întemeiate</w:t>
            </w:r>
            <w:r w:rsidRPr="007254D7">
              <w:rPr>
                <w:rFonts w:ascii="Times New Roman" w:eastAsia="Times New Roman" w:hAnsi="Times New Roman" w:cs="Times New Roman"/>
                <w:sz w:val="20"/>
                <w:szCs w:val="20"/>
                <w:lang w:val="ro-RO" w:eastAsia="ro-RO"/>
              </w:rPr>
              <w:t xml:space="preserve"> (inclusiv cele determinate de sezonalitatea anumitor activități investiționale), lit.b) a fost completată astfel încât retragerea să intervină numai atunci când neutilizarea autorizației sau încetarea activității are loc </w:t>
            </w:r>
            <w:r w:rsidR="00F32972">
              <w:rPr>
                <w:rFonts w:ascii="Times New Roman" w:eastAsia="Times New Roman" w:hAnsi="Times New Roman" w:cs="Times New Roman"/>
                <w:sz w:val="20"/>
                <w:szCs w:val="20"/>
                <w:lang w:val="ro-RO" w:eastAsia="ro-RO"/>
              </w:rPr>
              <w:t>„din motive neîntemeiate”.</w:t>
            </w:r>
          </w:p>
        </w:tc>
      </w:tr>
      <w:tr w:rsidR="008F2120" w:rsidRPr="00104D47" w14:paraId="3633AC0D" w14:textId="77777777" w:rsidTr="000B07F2">
        <w:trPr>
          <w:jc w:val="center"/>
        </w:trPr>
        <w:tc>
          <w:tcPr>
            <w:tcW w:w="1197" w:type="pct"/>
            <w:vMerge/>
            <w:tcMar>
              <w:top w:w="24" w:type="dxa"/>
              <w:left w:w="48" w:type="dxa"/>
              <w:bottom w:w="24" w:type="dxa"/>
              <w:right w:w="48" w:type="dxa"/>
            </w:tcMar>
            <w:vAlign w:val="center"/>
          </w:tcPr>
          <w:p w14:paraId="63BA1C38" w14:textId="77777777" w:rsidR="008F2120" w:rsidRPr="00F47FDB" w:rsidRDefault="008F2120" w:rsidP="008F2120">
            <w:pPr>
              <w:pStyle w:val="Listparagraf"/>
              <w:tabs>
                <w:tab w:val="left" w:pos="426"/>
              </w:tabs>
              <w:spacing w:after="0" w:line="240" w:lineRule="auto"/>
              <w:ind w:left="0"/>
              <w:rPr>
                <w:rFonts w:ascii="Times New Roman" w:hAnsi="Times New Roman" w:cs="Times New Roman"/>
                <w:b/>
                <w:sz w:val="20"/>
                <w:szCs w:val="20"/>
              </w:rPr>
            </w:pPr>
          </w:p>
        </w:tc>
        <w:tc>
          <w:tcPr>
            <w:tcW w:w="599" w:type="pct"/>
            <w:tcMar>
              <w:top w:w="24" w:type="dxa"/>
              <w:left w:w="48" w:type="dxa"/>
              <w:bottom w:w="24" w:type="dxa"/>
              <w:right w:w="48" w:type="dxa"/>
            </w:tcMar>
            <w:vAlign w:val="center"/>
          </w:tcPr>
          <w:p w14:paraId="75D97FC2"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ABM</w:t>
            </w:r>
          </w:p>
          <w:p w14:paraId="34073980" w14:textId="77777777" w:rsidR="008A1D50"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1435BF71" w14:textId="77777777" w:rsidR="008F2120" w:rsidRDefault="00C67D9A"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22</w:t>
            </w:r>
          </w:p>
        </w:tc>
        <w:tc>
          <w:tcPr>
            <w:tcW w:w="1747" w:type="pct"/>
            <w:tcMar>
              <w:top w:w="24" w:type="dxa"/>
              <w:left w:w="48" w:type="dxa"/>
              <w:bottom w:w="24" w:type="dxa"/>
              <w:right w:w="48" w:type="dxa"/>
            </w:tcMar>
            <w:vAlign w:val="center"/>
          </w:tcPr>
          <w:p w14:paraId="6CFE00A7"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Referitor la articolul 16 alin. (1) lit. b), care vizează retragerea autorizației, propunem reformularea normei astfel încât retragerea autorizației să poată interveni în cazul în care firma nu utilizează autorizația sau nu a prestat servicii de investiții în ultimele 12 luni. Această formulare ar reflecta mai adecvat specificul și sezonalitatea anumitor activități investiționale.</w:t>
            </w:r>
          </w:p>
        </w:tc>
        <w:tc>
          <w:tcPr>
            <w:tcW w:w="1273" w:type="pct"/>
            <w:vMerge/>
            <w:tcMar>
              <w:top w:w="24" w:type="dxa"/>
              <w:left w:w="48" w:type="dxa"/>
              <w:bottom w:w="24" w:type="dxa"/>
              <w:right w:w="48" w:type="dxa"/>
            </w:tcMar>
            <w:vAlign w:val="center"/>
          </w:tcPr>
          <w:p w14:paraId="676C061E" w14:textId="77777777" w:rsidR="008F2120" w:rsidRDefault="008F2120" w:rsidP="008F2120">
            <w:pPr>
              <w:spacing w:after="0" w:line="240" w:lineRule="auto"/>
              <w:jc w:val="both"/>
              <w:rPr>
                <w:rFonts w:ascii="Times New Roman" w:eastAsia="Times New Roman" w:hAnsi="Times New Roman" w:cs="Times New Roman"/>
                <w:b/>
                <w:sz w:val="20"/>
                <w:szCs w:val="20"/>
                <w:lang w:val="ro-RO" w:eastAsia="ro-RO"/>
              </w:rPr>
            </w:pPr>
          </w:p>
        </w:tc>
      </w:tr>
      <w:tr w:rsidR="008F2120" w:rsidRPr="00104D47" w14:paraId="40432485" w14:textId="77777777" w:rsidTr="000B07F2">
        <w:trPr>
          <w:jc w:val="center"/>
        </w:trPr>
        <w:tc>
          <w:tcPr>
            <w:tcW w:w="1197" w:type="pct"/>
            <w:vMerge w:val="restart"/>
            <w:tcMar>
              <w:top w:w="24" w:type="dxa"/>
              <w:left w:w="48" w:type="dxa"/>
              <w:bottom w:w="24" w:type="dxa"/>
              <w:right w:w="48" w:type="dxa"/>
            </w:tcMar>
            <w:vAlign w:val="center"/>
          </w:tcPr>
          <w:p w14:paraId="775C51ED" w14:textId="77777777" w:rsidR="008F2120" w:rsidRPr="005C5CEA" w:rsidRDefault="008F2120" w:rsidP="008F2120">
            <w:pPr>
              <w:pStyle w:val="Listparagraf"/>
              <w:tabs>
                <w:tab w:val="left" w:pos="426"/>
              </w:tabs>
              <w:spacing w:after="0" w:line="240" w:lineRule="auto"/>
              <w:ind w:left="0"/>
              <w:rPr>
                <w:rFonts w:ascii="Times New Roman" w:hAnsi="Times New Roman" w:cs="Times New Roman"/>
                <w:b/>
                <w:sz w:val="20"/>
                <w:szCs w:val="20"/>
              </w:rPr>
            </w:pPr>
            <w:r w:rsidRPr="005C5CEA">
              <w:rPr>
                <w:rFonts w:ascii="Times New Roman" w:hAnsi="Times New Roman" w:cs="Times New Roman"/>
                <w:b/>
                <w:sz w:val="20"/>
                <w:szCs w:val="20"/>
              </w:rPr>
              <w:t xml:space="preserve">Articolul 16. Retragerea autorizației </w:t>
            </w:r>
          </w:p>
          <w:p w14:paraId="2BBFDDD2" w14:textId="77777777" w:rsidR="008F2120" w:rsidRPr="00603FF0" w:rsidRDefault="008F2120" w:rsidP="008F2120">
            <w:pPr>
              <w:pStyle w:val="Listparagraf"/>
              <w:tabs>
                <w:tab w:val="left" w:pos="426"/>
              </w:tabs>
              <w:spacing w:after="0" w:line="240" w:lineRule="auto"/>
              <w:ind w:left="0"/>
              <w:rPr>
                <w:rFonts w:ascii="Times New Roman" w:hAnsi="Times New Roman" w:cs="Times New Roman"/>
                <w:b/>
                <w:sz w:val="20"/>
                <w:szCs w:val="20"/>
                <w:highlight w:val="yellow"/>
              </w:rPr>
            </w:pPr>
            <w:r w:rsidRPr="005C5CEA">
              <w:rPr>
                <w:rFonts w:ascii="Times New Roman" w:hAnsi="Times New Roman" w:cs="Times New Roman"/>
                <w:sz w:val="20"/>
                <w:szCs w:val="20"/>
                <w:lang w:val="ro-RO"/>
              </w:rPr>
              <w:t xml:space="preserve">(9) Entităţile cărora li s-a retras autorizația au obligația de a comunica CNPF adresa </w:t>
            </w:r>
            <w:r w:rsidRPr="005C5CEA">
              <w:rPr>
                <w:rFonts w:ascii="Times New Roman" w:hAnsi="Times New Roman" w:cs="Times New Roman"/>
                <w:sz w:val="20"/>
                <w:szCs w:val="20"/>
                <w:lang w:val="ro-RO"/>
              </w:rPr>
              <w:lastRenderedPageBreak/>
              <w:t>locului de păstrare a arhivei, precum și datele de identificare și de contact ale persoanei responsabile de administrarea acesteia, în vederea asigurării accesului CNPF la înregistrările aferente serviciilor prestate, activităților desfășurate și tranzacțiilor efectuate, inclusiv după retragerea autorizației.</w:t>
            </w:r>
          </w:p>
        </w:tc>
        <w:tc>
          <w:tcPr>
            <w:tcW w:w="599" w:type="pct"/>
            <w:tcMar>
              <w:top w:w="24" w:type="dxa"/>
              <w:left w:w="48" w:type="dxa"/>
              <w:bottom w:w="24" w:type="dxa"/>
              <w:right w:w="48" w:type="dxa"/>
            </w:tcMar>
            <w:vAlign w:val="center"/>
          </w:tcPr>
          <w:p w14:paraId="7AAD8A57"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Energbank</w:t>
            </w:r>
          </w:p>
          <w:p w14:paraId="6EA12FA0" w14:textId="77777777" w:rsidR="008A1D50"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lastRenderedPageBreak/>
              <w:t>(scrisoare nr.08/04/617 din 15.05.2026)</w:t>
            </w:r>
          </w:p>
        </w:tc>
        <w:tc>
          <w:tcPr>
            <w:tcW w:w="184" w:type="pct"/>
            <w:tcMar>
              <w:top w:w="24" w:type="dxa"/>
              <w:left w:w="48" w:type="dxa"/>
              <w:bottom w:w="24" w:type="dxa"/>
              <w:right w:w="48" w:type="dxa"/>
            </w:tcMar>
            <w:vAlign w:val="center"/>
          </w:tcPr>
          <w:p w14:paraId="38AD0F6D" w14:textId="77777777" w:rsidR="008F2120" w:rsidRDefault="00C67D9A"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23</w:t>
            </w:r>
          </w:p>
        </w:tc>
        <w:tc>
          <w:tcPr>
            <w:tcW w:w="1747" w:type="pct"/>
            <w:tcMar>
              <w:top w:w="24" w:type="dxa"/>
              <w:left w:w="48" w:type="dxa"/>
              <w:bottom w:w="24" w:type="dxa"/>
              <w:right w:w="48" w:type="dxa"/>
            </w:tcMar>
            <w:vAlign w:val="center"/>
          </w:tcPr>
          <w:p w14:paraId="62359DA4"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 xml:space="preserve">La art.16 alin.(9) se propune substituirea obligației de indicare a unei persoane responsabile unice cu obligația de furnizare a datelor de contact ale entității sau a mecanismului responsabil de </w:t>
            </w:r>
            <w:r>
              <w:rPr>
                <w:rFonts w:ascii="Times New Roman" w:hAnsi="Times New Roman" w:cs="Times New Roman"/>
                <w:sz w:val="20"/>
                <w:szCs w:val="20"/>
              </w:rPr>
              <w:lastRenderedPageBreak/>
              <w:t>administrarea arhivei, pentru a asigura continuitatea accesului la informație și a evita dependența de disponibilitatea unei persoane fizice.</w:t>
            </w:r>
          </w:p>
        </w:tc>
        <w:tc>
          <w:tcPr>
            <w:tcW w:w="1273" w:type="pct"/>
            <w:vMerge w:val="restart"/>
            <w:tcMar>
              <w:top w:w="24" w:type="dxa"/>
              <w:left w:w="48" w:type="dxa"/>
              <w:bottom w:w="24" w:type="dxa"/>
              <w:right w:w="48" w:type="dxa"/>
            </w:tcMar>
            <w:vAlign w:val="center"/>
          </w:tcPr>
          <w:p w14:paraId="3DED7CA3" w14:textId="77777777" w:rsidR="008F2120" w:rsidRPr="0089598C" w:rsidRDefault="008F2120"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lastRenderedPageBreak/>
              <w:t xml:space="preserve">Se acceptă </w:t>
            </w:r>
          </w:p>
          <w:p w14:paraId="5AD34DCF" w14:textId="77777777" w:rsidR="008F2120" w:rsidRDefault="008F2120" w:rsidP="008F2120">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Notăm că</w:t>
            </w:r>
            <w:r w:rsidRPr="00B22429">
              <w:rPr>
                <w:rFonts w:ascii="Times New Roman" w:eastAsia="Times New Roman" w:hAnsi="Times New Roman" w:cs="Times New Roman"/>
                <w:sz w:val="20"/>
                <w:szCs w:val="20"/>
                <w:lang w:val="ro-RO" w:eastAsia="ro-RO"/>
              </w:rPr>
              <w:t xml:space="preserve"> noțiunea de „persoană” acoperă, atât persoanele fizice, cât și persoanele juridice. </w:t>
            </w:r>
            <w:r>
              <w:rPr>
                <w:rFonts w:ascii="Times New Roman" w:eastAsia="Times New Roman" w:hAnsi="Times New Roman" w:cs="Times New Roman"/>
                <w:sz w:val="20"/>
                <w:szCs w:val="20"/>
                <w:lang w:val="ro-RO" w:eastAsia="ro-RO"/>
              </w:rPr>
              <w:lastRenderedPageBreak/>
              <w:t>Totuși, î</w:t>
            </w:r>
            <w:r w:rsidRPr="00B22429">
              <w:rPr>
                <w:rFonts w:ascii="Times New Roman" w:eastAsia="Times New Roman" w:hAnsi="Times New Roman" w:cs="Times New Roman"/>
                <w:sz w:val="20"/>
                <w:szCs w:val="20"/>
                <w:lang w:val="ro-RO" w:eastAsia="ro-RO"/>
              </w:rPr>
              <w:t>n scopul clarității normei, la art. 16 alin. (9) din proiect, termenul „persoanei” a fost completat cu mențiunea „</w:t>
            </w:r>
            <w:r>
              <w:rPr>
                <w:rFonts w:ascii="Times New Roman" w:eastAsia="Times New Roman" w:hAnsi="Times New Roman" w:cs="Times New Roman"/>
                <w:sz w:val="20"/>
                <w:szCs w:val="20"/>
                <w:lang w:val="ro-RO" w:eastAsia="ro-RO"/>
              </w:rPr>
              <w:t xml:space="preserve"> sau </w:t>
            </w:r>
            <w:r w:rsidRPr="00B22429">
              <w:rPr>
                <w:rFonts w:ascii="Times New Roman" w:eastAsia="Times New Roman" w:hAnsi="Times New Roman" w:cs="Times New Roman"/>
                <w:sz w:val="20"/>
                <w:szCs w:val="20"/>
                <w:lang w:val="ro-RO" w:eastAsia="ro-RO"/>
              </w:rPr>
              <w:t>entității”</w:t>
            </w:r>
            <w:r>
              <w:rPr>
                <w:rFonts w:ascii="Times New Roman" w:eastAsia="Times New Roman" w:hAnsi="Times New Roman" w:cs="Times New Roman"/>
                <w:sz w:val="20"/>
                <w:szCs w:val="20"/>
                <w:lang w:val="ro-RO" w:eastAsia="ro-RO"/>
              </w:rPr>
              <w:t xml:space="preserve">. </w:t>
            </w:r>
          </w:p>
          <w:p w14:paraId="775CDACF" w14:textId="77777777" w:rsidR="008F2120" w:rsidRDefault="008F2120" w:rsidP="008F2120">
            <w:pPr>
              <w:spacing w:after="0" w:line="240" w:lineRule="auto"/>
              <w:jc w:val="both"/>
              <w:rPr>
                <w:rFonts w:ascii="Times New Roman" w:eastAsia="Times New Roman" w:hAnsi="Times New Roman" w:cs="Times New Roman"/>
                <w:b/>
                <w:sz w:val="20"/>
                <w:szCs w:val="20"/>
                <w:lang w:val="ro-RO" w:eastAsia="ro-RO"/>
              </w:rPr>
            </w:pPr>
            <w:r w:rsidRPr="00B22429">
              <w:rPr>
                <w:rFonts w:ascii="Times New Roman" w:eastAsia="Times New Roman" w:hAnsi="Times New Roman" w:cs="Times New Roman"/>
                <w:sz w:val="20"/>
                <w:szCs w:val="20"/>
                <w:lang w:val="ro-RO" w:eastAsia="ro-RO"/>
              </w:rPr>
              <w:t xml:space="preserve">Completarea are valoare de clarificare terminologică și confirmă expres că obligația poate fi îndeplinită inclusiv prin desemnarea unei </w:t>
            </w:r>
            <w:r>
              <w:rPr>
                <w:rFonts w:ascii="Times New Roman" w:eastAsia="Times New Roman" w:hAnsi="Times New Roman" w:cs="Times New Roman"/>
                <w:sz w:val="20"/>
                <w:szCs w:val="20"/>
                <w:lang w:val="ro-RO" w:eastAsia="ro-RO"/>
              </w:rPr>
              <w:t>persoane juridice</w:t>
            </w:r>
            <w:r w:rsidRPr="00B22429">
              <w:rPr>
                <w:rFonts w:ascii="Times New Roman" w:eastAsia="Times New Roman" w:hAnsi="Times New Roman" w:cs="Times New Roman"/>
                <w:sz w:val="20"/>
                <w:szCs w:val="20"/>
                <w:lang w:val="ro-RO" w:eastAsia="ro-RO"/>
              </w:rPr>
              <w:t>.</w:t>
            </w:r>
          </w:p>
        </w:tc>
      </w:tr>
      <w:tr w:rsidR="008F2120" w:rsidRPr="00104D47" w14:paraId="34F4B820" w14:textId="77777777" w:rsidTr="000B07F2">
        <w:trPr>
          <w:jc w:val="center"/>
        </w:trPr>
        <w:tc>
          <w:tcPr>
            <w:tcW w:w="1197" w:type="pct"/>
            <w:vMerge/>
            <w:tcMar>
              <w:top w:w="24" w:type="dxa"/>
              <w:left w:w="48" w:type="dxa"/>
              <w:bottom w:w="24" w:type="dxa"/>
              <w:right w:w="48" w:type="dxa"/>
            </w:tcMar>
            <w:vAlign w:val="center"/>
          </w:tcPr>
          <w:p w14:paraId="6ADCDCC1" w14:textId="77777777" w:rsidR="008F2120" w:rsidRPr="00F47FDB" w:rsidRDefault="008F2120" w:rsidP="008F2120">
            <w:pPr>
              <w:pStyle w:val="Listparagraf"/>
              <w:tabs>
                <w:tab w:val="left" w:pos="426"/>
              </w:tabs>
              <w:spacing w:after="0" w:line="240" w:lineRule="auto"/>
              <w:ind w:left="0"/>
              <w:rPr>
                <w:rFonts w:ascii="Times New Roman" w:hAnsi="Times New Roman" w:cs="Times New Roman"/>
                <w:b/>
                <w:sz w:val="20"/>
                <w:szCs w:val="20"/>
              </w:rPr>
            </w:pPr>
          </w:p>
        </w:tc>
        <w:tc>
          <w:tcPr>
            <w:tcW w:w="599" w:type="pct"/>
            <w:tcMar>
              <w:top w:w="24" w:type="dxa"/>
              <w:left w:w="48" w:type="dxa"/>
              <w:bottom w:w="24" w:type="dxa"/>
              <w:right w:w="48" w:type="dxa"/>
            </w:tcMar>
            <w:vAlign w:val="center"/>
          </w:tcPr>
          <w:p w14:paraId="360DBB2B"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ABM</w:t>
            </w:r>
          </w:p>
          <w:p w14:paraId="47D23F8E" w14:textId="77777777" w:rsidR="008A1D50"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67DD09BE" w14:textId="77777777" w:rsidR="008F2120" w:rsidRDefault="00C67D9A"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24</w:t>
            </w:r>
          </w:p>
        </w:tc>
        <w:tc>
          <w:tcPr>
            <w:tcW w:w="1747" w:type="pct"/>
            <w:tcMar>
              <w:top w:w="24" w:type="dxa"/>
              <w:left w:w="48" w:type="dxa"/>
              <w:bottom w:w="24" w:type="dxa"/>
              <w:right w:w="48" w:type="dxa"/>
            </w:tcMar>
            <w:vAlign w:val="center"/>
          </w:tcPr>
          <w:p w14:paraId="25CBB217"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Cu privire la articolul 16 alin. (9), referitor la persoana responsabilă de arhivă, propunem substituirea obligației de indicare a unei persoane responsabile unice cu obligația de furnizare a datelor de contact ale entității sau ale mecanismului responsabil de administrarea arhivei. Această soluție ar asigura continuitatea accesului la informație și ar evita dependența de disponibilitatea unei anumite persoane fizice.</w:t>
            </w:r>
          </w:p>
        </w:tc>
        <w:tc>
          <w:tcPr>
            <w:tcW w:w="1273" w:type="pct"/>
            <w:vMerge/>
            <w:tcMar>
              <w:top w:w="24" w:type="dxa"/>
              <w:left w:w="48" w:type="dxa"/>
              <w:bottom w:w="24" w:type="dxa"/>
              <w:right w:w="48" w:type="dxa"/>
            </w:tcMar>
            <w:vAlign w:val="center"/>
          </w:tcPr>
          <w:p w14:paraId="127BDDB2" w14:textId="77777777" w:rsidR="008F2120" w:rsidRDefault="008F2120" w:rsidP="008F2120">
            <w:pPr>
              <w:spacing w:after="0" w:line="240" w:lineRule="auto"/>
              <w:jc w:val="both"/>
              <w:rPr>
                <w:rFonts w:ascii="Times New Roman" w:eastAsia="Times New Roman" w:hAnsi="Times New Roman" w:cs="Times New Roman"/>
                <w:b/>
                <w:sz w:val="20"/>
                <w:szCs w:val="20"/>
                <w:lang w:val="ro-RO" w:eastAsia="ro-RO"/>
              </w:rPr>
            </w:pPr>
          </w:p>
        </w:tc>
      </w:tr>
      <w:tr w:rsidR="008F2120" w:rsidRPr="00104D47" w14:paraId="283EB824" w14:textId="77777777" w:rsidTr="000B07F2">
        <w:trPr>
          <w:jc w:val="center"/>
        </w:trPr>
        <w:tc>
          <w:tcPr>
            <w:tcW w:w="1197" w:type="pct"/>
            <w:tcMar>
              <w:top w:w="24" w:type="dxa"/>
              <w:left w:w="48" w:type="dxa"/>
              <w:bottom w:w="24" w:type="dxa"/>
              <w:right w:w="48" w:type="dxa"/>
            </w:tcMar>
            <w:vAlign w:val="center"/>
          </w:tcPr>
          <w:p w14:paraId="2B4881E3" w14:textId="77777777" w:rsidR="008F2120" w:rsidRDefault="008F2120" w:rsidP="008F2120">
            <w:pPr>
              <w:pStyle w:val="Listparagraf"/>
              <w:tabs>
                <w:tab w:val="left" w:pos="426"/>
              </w:tabs>
              <w:spacing w:after="0" w:line="240" w:lineRule="auto"/>
              <w:ind w:left="0"/>
              <w:rPr>
                <w:rFonts w:ascii="Times New Roman" w:hAnsi="Times New Roman" w:cs="Times New Roman"/>
                <w:b/>
                <w:sz w:val="20"/>
                <w:szCs w:val="20"/>
              </w:rPr>
            </w:pPr>
            <w:r>
              <w:rPr>
                <w:rFonts w:ascii="Times New Roman" w:hAnsi="Times New Roman" w:cs="Times New Roman"/>
                <w:b/>
                <w:sz w:val="20"/>
                <w:szCs w:val="20"/>
              </w:rPr>
              <w:t xml:space="preserve">Articolul 17. Organul de conducere </w:t>
            </w:r>
          </w:p>
          <w:p w14:paraId="17ABA846" w14:textId="77777777" w:rsidR="008F2120" w:rsidRPr="007254B3" w:rsidRDefault="008F2120" w:rsidP="008F2120">
            <w:pPr>
              <w:pStyle w:val="Listparagraf"/>
              <w:tabs>
                <w:tab w:val="left" w:pos="426"/>
              </w:tabs>
              <w:spacing w:after="0" w:line="240" w:lineRule="auto"/>
              <w:ind w:left="0"/>
              <w:rPr>
                <w:rFonts w:ascii="Times New Roman" w:hAnsi="Times New Roman" w:cs="Times New Roman"/>
                <w:sz w:val="20"/>
                <w:szCs w:val="20"/>
                <w:lang w:val="ro-RO"/>
              </w:rPr>
            </w:pPr>
            <w:r>
              <w:rPr>
                <w:lang w:val="ro-RO"/>
              </w:rPr>
              <w:t>(</w:t>
            </w:r>
            <w:r>
              <w:rPr>
                <w:rFonts w:ascii="Times New Roman" w:hAnsi="Times New Roman" w:cs="Times New Roman"/>
                <w:sz w:val="20"/>
                <w:szCs w:val="20"/>
                <w:lang w:val="ro-RO"/>
              </w:rPr>
              <w:t>8) Prevederile prezentei secțiuni nu se aplică instituțiilor de credit din Republica Moldova, cu excepția:</w:t>
            </w:r>
          </w:p>
          <w:p w14:paraId="2F6351DC" w14:textId="77777777" w:rsidR="008F2120" w:rsidRPr="00C71263" w:rsidRDefault="008F2120" w:rsidP="008F2120">
            <w:pPr>
              <w:spacing w:after="0" w:line="240" w:lineRule="auto"/>
              <w:rPr>
                <w:rFonts w:ascii="Times New Roman" w:eastAsia="Times New Roman" w:hAnsi="Times New Roman" w:cs="Times New Roman"/>
                <w:b/>
                <w:iCs/>
                <w:sz w:val="20"/>
                <w:szCs w:val="20"/>
                <w:lang w:val="ro-RO" w:eastAsia="ro-RO"/>
              </w:rPr>
            </w:pPr>
            <w:r>
              <w:rPr>
                <w:rFonts w:ascii="Times New Roman" w:hAnsi="Times New Roman" w:cs="Times New Roman"/>
                <w:sz w:val="20"/>
                <w:szCs w:val="20"/>
                <w:lang w:val="ro-RO"/>
              </w:rPr>
              <w:t>a) art.18 alin.(3)-(5), fără a aduce atingere prevederilor art.41 din Legea nr.202/2017 privind activitatea băncilor;</w:t>
            </w:r>
          </w:p>
        </w:tc>
        <w:tc>
          <w:tcPr>
            <w:tcW w:w="599" w:type="pct"/>
            <w:tcMar>
              <w:top w:w="24" w:type="dxa"/>
              <w:left w:w="48" w:type="dxa"/>
              <w:bottom w:w="24" w:type="dxa"/>
              <w:right w:w="48" w:type="dxa"/>
            </w:tcMar>
            <w:vAlign w:val="center"/>
          </w:tcPr>
          <w:p w14:paraId="104822E4"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3A6F409F"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590EEBA7"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2C7341FB" w14:textId="77777777" w:rsidR="00577530" w:rsidRPr="00724452" w:rsidRDefault="00577530"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5CB70BA1" w14:textId="77777777" w:rsidR="008F2120" w:rsidRDefault="00C67D9A"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25</w:t>
            </w:r>
          </w:p>
        </w:tc>
        <w:tc>
          <w:tcPr>
            <w:tcW w:w="1747" w:type="pct"/>
            <w:tcMar>
              <w:top w:w="24" w:type="dxa"/>
              <w:left w:w="48" w:type="dxa"/>
              <w:bottom w:w="24" w:type="dxa"/>
              <w:right w:w="48" w:type="dxa"/>
            </w:tcMar>
            <w:vAlign w:val="center"/>
          </w:tcPr>
          <w:p w14:paraId="75460A55"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La art. 17 alin. (8) lit. a) din proiect, se recomandă substituirea cuvântului „băncilor” cu cuvintele „instituțiilor de credit”.</w:t>
            </w:r>
          </w:p>
        </w:tc>
        <w:tc>
          <w:tcPr>
            <w:tcW w:w="1273" w:type="pct"/>
            <w:tcMar>
              <w:top w:w="24" w:type="dxa"/>
              <w:left w:w="48" w:type="dxa"/>
              <w:bottom w:w="24" w:type="dxa"/>
              <w:right w:w="48" w:type="dxa"/>
            </w:tcMar>
            <w:vAlign w:val="center"/>
          </w:tcPr>
          <w:p w14:paraId="1B075FD5" w14:textId="77777777" w:rsidR="008F2120" w:rsidRPr="00CE6D97" w:rsidRDefault="008F2120"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Nu se acceptă </w:t>
            </w:r>
          </w:p>
          <w:p w14:paraId="04F43916" w14:textId="77777777" w:rsidR="008F2120" w:rsidRDefault="008F2120" w:rsidP="008F212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La etapa actuală denumirea legii la care se face referință este anume aceasta: </w:t>
            </w:r>
            <w:r>
              <w:rPr>
                <w:rFonts w:ascii="Times New Roman" w:hAnsi="Times New Roman" w:cs="Times New Roman"/>
                <w:sz w:val="20"/>
                <w:szCs w:val="20"/>
                <w:lang w:val="ro-RO"/>
              </w:rPr>
              <w:t>Legea nr.202/2017 privind activitatea băncilor.</w:t>
            </w:r>
          </w:p>
        </w:tc>
      </w:tr>
      <w:tr w:rsidR="00F82F5B" w:rsidRPr="00104D47" w14:paraId="29CBE11F" w14:textId="77777777" w:rsidTr="000B07F2">
        <w:trPr>
          <w:jc w:val="center"/>
        </w:trPr>
        <w:tc>
          <w:tcPr>
            <w:tcW w:w="1197" w:type="pct"/>
            <w:tcMar>
              <w:top w:w="24" w:type="dxa"/>
              <w:left w:w="48" w:type="dxa"/>
              <w:bottom w:w="24" w:type="dxa"/>
              <w:right w:w="48" w:type="dxa"/>
            </w:tcMar>
            <w:vAlign w:val="center"/>
          </w:tcPr>
          <w:p w14:paraId="092B0AEF" w14:textId="77777777" w:rsidR="00F82F5B" w:rsidRDefault="00F82F5B" w:rsidP="00F82F5B">
            <w:pPr>
              <w:spacing w:after="0" w:line="240" w:lineRule="auto"/>
              <w:jc w:val="both"/>
              <w:rPr>
                <w:rFonts w:ascii="Times New Roman" w:eastAsiaTheme="majorEastAsia" w:hAnsi="Times New Roman" w:cs="Times New Roman"/>
                <w:b/>
                <w:iCs/>
                <w:sz w:val="20"/>
                <w:szCs w:val="20"/>
                <w:lang w:val="ro-RO"/>
              </w:rPr>
            </w:pPr>
            <w:r>
              <w:rPr>
                <w:rFonts w:ascii="Times New Roman" w:eastAsiaTheme="majorEastAsia" w:hAnsi="Times New Roman" w:cs="Times New Roman"/>
                <w:b/>
                <w:iCs/>
                <w:sz w:val="20"/>
                <w:szCs w:val="20"/>
                <w:lang w:val="ro-RO"/>
              </w:rPr>
              <w:t>Articolul 27. Procesul de solicitare a aprobării prealabile</w:t>
            </w:r>
          </w:p>
          <w:p w14:paraId="534F1BBC" w14:textId="77777777" w:rsidR="00F82F5B" w:rsidRDefault="00F82F5B" w:rsidP="00F82F5B">
            <w:pPr>
              <w:spacing w:after="0" w:line="240" w:lineRule="auto"/>
              <w:jc w:val="both"/>
              <w:rPr>
                <w:rFonts w:ascii="Times New Roman" w:eastAsiaTheme="majorEastAsia" w:hAnsi="Times New Roman" w:cs="Times New Roman"/>
                <w:bCs/>
                <w:iCs/>
                <w:sz w:val="20"/>
                <w:szCs w:val="20"/>
                <w:lang w:val="ro-RO"/>
              </w:rPr>
            </w:pPr>
            <w:r w:rsidRPr="00F147BF">
              <w:rPr>
                <w:rFonts w:ascii="Times New Roman" w:eastAsiaTheme="majorEastAsia" w:hAnsi="Times New Roman" w:cs="Times New Roman"/>
                <w:bCs/>
                <w:iCs/>
                <w:sz w:val="20"/>
                <w:szCs w:val="20"/>
                <w:lang w:val="ro-RO"/>
              </w:rPr>
              <w:t>(2) Pentru solicitarea aprobării prealabile prevăzute la art.28 alin.(1), achizitorul potențial/dobânditorul prezintă documentele și informațiile relevante, conform legislației aplicabile, care se examinează în termenele prevăzute la alin.(4)-(7).</w:t>
            </w:r>
          </w:p>
          <w:p w14:paraId="1CE7DBE2" w14:textId="77777777" w:rsidR="00AF3EDD" w:rsidRDefault="00AF3EDD" w:rsidP="00F82F5B">
            <w:pPr>
              <w:spacing w:after="0" w:line="240" w:lineRule="auto"/>
              <w:jc w:val="both"/>
              <w:rPr>
                <w:rFonts w:ascii="Times New Roman" w:eastAsiaTheme="majorEastAsia" w:hAnsi="Times New Roman" w:cs="Times New Roman"/>
                <w:bCs/>
                <w:iCs/>
                <w:sz w:val="20"/>
                <w:szCs w:val="20"/>
                <w:lang w:val="ro-RO"/>
              </w:rPr>
            </w:pPr>
          </w:p>
          <w:p w14:paraId="05EB25C0" w14:textId="77777777" w:rsidR="00AF3EDD" w:rsidRPr="00F147BF" w:rsidRDefault="00AF3EDD" w:rsidP="00AF3EDD">
            <w:pPr>
              <w:spacing w:after="0" w:line="240" w:lineRule="auto"/>
              <w:jc w:val="both"/>
              <w:rPr>
                <w:rFonts w:ascii="Times New Roman" w:eastAsiaTheme="majorEastAsia" w:hAnsi="Times New Roman" w:cs="Times New Roman"/>
                <w:b/>
                <w:iCs/>
                <w:sz w:val="20"/>
                <w:szCs w:val="20"/>
                <w:lang w:val="ro-RO"/>
              </w:rPr>
            </w:pPr>
            <w:r w:rsidRPr="00F147BF">
              <w:rPr>
                <w:rFonts w:ascii="Times New Roman" w:eastAsiaTheme="majorEastAsia" w:hAnsi="Times New Roman" w:cs="Times New Roman"/>
                <w:b/>
                <w:iCs/>
                <w:sz w:val="20"/>
                <w:szCs w:val="20"/>
                <w:lang w:val="ro-RO"/>
              </w:rPr>
              <w:t>Articolul 140. Reorganizarea</w:t>
            </w:r>
          </w:p>
          <w:p w14:paraId="2913F684" w14:textId="77777777" w:rsidR="00AF3EDD" w:rsidRPr="00F82F5B" w:rsidRDefault="00AF3EDD" w:rsidP="00AF3EDD">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(1) Reorganizarea firmelor de investiții și a operatorilor de piață se realizează conform legislației privind societățile pe acțiuni, dispozițiilor prezentei legi și ale actelor normative ale CNPF.</w:t>
            </w:r>
          </w:p>
        </w:tc>
        <w:tc>
          <w:tcPr>
            <w:tcW w:w="599" w:type="pct"/>
            <w:tcMar>
              <w:top w:w="24" w:type="dxa"/>
              <w:left w:w="48" w:type="dxa"/>
              <w:bottom w:w="24" w:type="dxa"/>
              <w:right w:w="48" w:type="dxa"/>
            </w:tcMar>
            <w:vAlign w:val="center"/>
          </w:tcPr>
          <w:p w14:paraId="7DE4EF87" w14:textId="77777777" w:rsidR="00F82F5B" w:rsidRPr="00F82F5B" w:rsidRDefault="00F82F5B" w:rsidP="00F82F5B">
            <w:pPr>
              <w:spacing w:after="0" w:line="240" w:lineRule="auto"/>
              <w:rPr>
                <w:rFonts w:ascii="Times New Roman" w:hAnsi="Times New Roman" w:cs="Times New Roman"/>
                <w:bCs/>
                <w:sz w:val="20"/>
                <w:szCs w:val="20"/>
                <w:lang w:val="ro-RO"/>
              </w:rPr>
            </w:pPr>
            <w:r>
              <w:rPr>
                <w:rFonts w:ascii="Times New Roman" w:eastAsia="Times New Roman" w:hAnsi="Times New Roman" w:cs="Times New Roman"/>
                <w:b/>
                <w:bCs/>
                <w:sz w:val="20"/>
                <w:szCs w:val="20"/>
                <w:lang w:eastAsia="ro-RO"/>
              </w:rPr>
              <w:t xml:space="preserve">Consiliul Concurenței </w:t>
            </w:r>
            <w:r w:rsidRPr="008911CB">
              <w:rPr>
                <w:rFonts w:ascii="Times New Roman" w:eastAsia="Times New Roman" w:hAnsi="Times New Roman" w:cs="Times New Roman"/>
                <w:sz w:val="20"/>
                <w:szCs w:val="20"/>
                <w:lang w:eastAsia="ro-RO"/>
              </w:rPr>
              <w:t>(scrisoare nr.DJ-06/599-1102 din 12 iunie 2026)</w:t>
            </w:r>
          </w:p>
        </w:tc>
        <w:tc>
          <w:tcPr>
            <w:tcW w:w="184" w:type="pct"/>
            <w:tcMar>
              <w:top w:w="24" w:type="dxa"/>
              <w:left w:w="48" w:type="dxa"/>
              <w:bottom w:w="24" w:type="dxa"/>
              <w:right w:w="48" w:type="dxa"/>
            </w:tcMar>
            <w:vAlign w:val="center"/>
          </w:tcPr>
          <w:p w14:paraId="52C61C7B" w14:textId="77777777" w:rsidR="00F82F5B" w:rsidRPr="00F82F5B" w:rsidRDefault="00F82F5B" w:rsidP="00F82F5B">
            <w:pPr>
              <w:spacing w:after="0" w:line="240" w:lineRule="auto"/>
              <w:jc w:val="center"/>
              <w:rPr>
                <w:rFonts w:ascii="Times New Roman" w:eastAsia="Times New Roman" w:hAnsi="Times New Roman" w:cs="Times New Roman"/>
                <w:bCs/>
                <w:sz w:val="20"/>
                <w:szCs w:val="20"/>
                <w:lang w:eastAsia="ro-RO"/>
              </w:rPr>
            </w:pPr>
            <w:r>
              <w:rPr>
                <w:rFonts w:ascii="Times New Roman" w:eastAsia="Times New Roman" w:hAnsi="Times New Roman" w:cs="Times New Roman"/>
                <w:b/>
                <w:bCs/>
                <w:sz w:val="20"/>
                <w:szCs w:val="20"/>
                <w:lang w:eastAsia="ro-RO"/>
              </w:rPr>
              <w:t>26</w:t>
            </w:r>
          </w:p>
        </w:tc>
        <w:tc>
          <w:tcPr>
            <w:tcW w:w="1747" w:type="pct"/>
            <w:tcMar>
              <w:top w:w="24" w:type="dxa"/>
              <w:left w:w="48" w:type="dxa"/>
              <w:bottom w:w="24" w:type="dxa"/>
              <w:right w:w="48" w:type="dxa"/>
            </w:tcMar>
            <w:vAlign w:val="center"/>
          </w:tcPr>
          <w:p w14:paraId="153F8011" w14:textId="77777777" w:rsidR="00F82F5B" w:rsidRPr="00F82F5B" w:rsidRDefault="00F82F5B" w:rsidP="00F82F5B">
            <w:pPr>
              <w:autoSpaceDE w:val="0"/>
              <w:autoSpaceDN w:val="0"/>
              <w:adjustRightInd w:val="0"/>
              <w:spacing w:after="0" w:line="240" w:lineRule="auto"/>
              <w:ind w:right="98"/>
              <w:jc w:val="both"/>
              <w:rPr>
                <w:rFonts w:ascii="Times New Roman" w:hAnsi="Times New Roman" w:cs="Times New Roman"/>
                <w:bCs/>
                <w:sz w:val="20"/>
                <w:szCs w:val="20"/>
              </w:rPr>
            </w:pPr>
            <w:r w:rsidRPr="003E7A86">
              <w:rPr>
                <w:rFonts w:ascii="Times New Roman" w:hAnsi="Times New Roman" w:cs="Times New Roman"/>
                <w:sz w:val="20"/>
                <w:szCs w:val="20"/>
              </w:rPr>
              <w:t>Prin urmare, în vederea asigurării previzibilității normelor juridice și neadmitere a concentrării pieței sau a consolidării unei poziții dominante, se consideră oportună completarea art.27 alin.(2) și art.140 alin.1) din proiect cu norme, în mod similar normelor de trimitere prevăzute de Legea nr.171/2012 privind piața de capital și de Legea nr.1134/1997 privind societățile pe acțiuni, care să instituie obligația respectării legislației concurențiale și, respectiv, de a prezenta deciziile Consiliului Concurenței de autorizare a concentrărilor economice, în procesul de aprobare de către CNPF și de către CNPF și de înregistrare a modificărilor de către Agenția Servicii Publice.</w:t>
            </w:r>
          </w:p>
        </w:tc>
        <w:tc>
          <w:tcPr>
            <w:tcW w:w="1273" w:type="pct"/>
            <w:tcMar>
              <w:top w:w="24" w:type="dxa"/>
              <w:left w:w="48" w:type="dxa"/>
              <w:bottom w:w="24" w:type="dxa"/>
              <w:right w:w="48" w:type="dxa"/>
            </w:tcMar>
            <w:vAlign w:val="center"/>
          </w:tcPr>
          <w:p w14:paraId="4020B670" w14:textId="77777777" w:rsidR="00F82F5B" w:rsidRDefault="00F82F5B" w:rsidP="00F82F5B">
            <w:pPr>
              <w:spacing w:after="0" w:line="240" w:lineRule="auto"/>
              <w:jc w:val="both"/>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Se respinge.</w:t>
            </w:r>
          </w:p>
          <w:p w14:paraId="4203AB3F" w14:textId="77777777" w:rsidR="00F82F5B" w:rsidRPr="00685B29" w:rsidRDefault="00F82F5B" w:rsidP="00F82F5B">
            <w:pPr>
              <w:spacing w:after="0" w:line="240" w:lineRule="auto"/>
              <w:jc w:val="both"/>
              <w:rPr>
                <w:rFonts w:ascii="Times New Roman" w:eastAsia="Times New Roman" w:hAnsi="Times New Roman" w:cs="Times New Roman"/>
                <w:sz w:val="20"/>
                <w:szCs w:val="20"/>
                <w:lang w:eastAsia="ro-RO"/>
              </w:rPr>
            </w:pPr>
            <w:r w:rsidRPr="00685B29">
              <w:rPr>
                <w:rFonts w:ascii="Times New Roman" w:eastAsia="Times New Roman" w:hAnsi="Times New Roman" w:cs="Times New Roman"/>
                <w:sz w:val="20"/>
                <w:szCs w:val="20"/>
                <w:lang w:eastAsia="ro-RO"/>
              </w:rPr>
              <w:t>Potrivit proiectului, firmele de investiții și operatorii de piață (art.13 alin.(3)</w:t>
            </w:r>
            <w:r>
              <w:rPr>
                <w:rFonts w:ascii="Times New Roman" w:eastAsia="Times New Roman" w:hAnsi="Times New Roman" w:cs="Times New Roman"/>
                <w:sz w:val="20"/>
                <w:szCs w:val="20"/>
                <w:lang w:eastAsia="ro-RO"/>
              </w:rPr>
              <w:t xml:space="preserve"> și art.77 alin.(4)</w:t>
            </w:r>
            <w:r w:rsidRPr="00685B29">
              <w:rPr>
                <w:rFonts w:ascii="Times New Roman" w:eastAsia="Times New Roman" w:hAnsi="Times New Roman" w:cs="Times New Roman"/>
                <w:sz w:val="20"/>
                <w:szCs w:val="20"/>
                <w:lang w:eastAsia="ro-RO"/>
              </w:rPr>
              <w:t>) se constituie și funcționează sub formă de societăți pe acțiuni. În consecință, acestora li se aplică Legea nr.1134/1997 privind societățile pe acțiuni, care reglementează deja obligațiile invocate:</w:t>
            </w:r>
          </w:p>
          <w:p w14:paraId="21CD7172" w14:textId="77777777" w:rsidR="00F82F5B" w:rsidRPr="0092489E" w:rsidRDefault="00F82F5B" w:rsidP="00F82F5B">
            <w:pPr>
              <w:pStyle w:val="Listparagraf"/>
              <w:numPr>
                <w:ilvl w:val="0"/>
                <w:numId w:val="19"/>
              </w:numPr>
              <w:spacing w:after="0" w:line="240" w:lineRule="auto"/>
              <w:ind w:left="232" w:hanging="232"/>
              <w:jc w:val="both"/>
              <w:rPr>
                <w:rFonts w:ascii="Times New Roman" w:eastAsia="Times New Roman" w:hAnsi="Times New Roman" w:cs="Times New Roman"/>
                <w:sz w:val="20"/>
                <w:szCs w:val="20"/>
                <w:lang w:eastAsia="ro-RO"/>
              </w:rPr>
            </w:pPr>
            <w:r w:rsidRPr="0092489E">
              <w:rPr>
                <w:rFonts w:ascii="Times New Roman" w:eastAsia="Times New Roman" w:hAnsi="Times New Roman" w:cs="Times New Roman"/>
                <w:sz w:val="20"/>
                <w:szCs w:val="20"/>
                <w:lang w:eastAsia="ro-RO"/>
              </w:rPr>
              <w:t>art.83 alin.(2): „Achiziţionarea de către orice persoană a unui număr de acţiuni care acordă controlul asupra societăţii se efectuează cu respectarea prevederilor legislaţiei din domeniul concurenţei şi ale legislaţiei privind piaţa de capital</w:t>
            </w:r>
            <w:r>
              <w:rPr>
                <w:rFonts w:ascii="Times New Roman" w:eastAsia="Times New Roman" w:hAnsi="Times New Roman" w:cs="Times New Roman"/>
                <w:sz w:val="20"/>
                <w:szCs w:val="20"/>
                <w:lang w:eastAsia="ro-RO"/>
              </w:rPr>
              <w:t>”</w:t>
            </w:r>
            <w:r w:rsidRPr="0092489E">
              <w:rPr>
                <w:rFonts w:ascii="Times New Roman" w:eastAsia="Times New Roman" w:hAnsi="Times New Roman" w:cs="Times New Roman"/>
                <w:sz w:val="20"/>
                <w:szCs w:val="20"/>
                <w:lang w:eastAsia="ro-RO"/>
              </w:rPr>
              <w:t>;</w:t>
            </w:r>
          </w:p>
          <w:p w14:paraId="6185E8EB" w14:textId="77777777" w:rsidR="00F82F5B" w:rsidRPr="0092489E" w:rsidRDefault="00F82F5B" w:rsidP="00F82F5B">
            <w:pPr>
              <w:pStyle w:val="Listparagraf"/>
              <w:numPr>
                <w:ilvl w:val="0"/>
                <w:numId w:val="19"/>
              </w:numPr>
              <w:spacing w:after="0" w:line="240" w:lineRule="auto"/>
              <w:ind w:left="232" w:hanging="232"/>
              <w:jc w:val="both"/>
              <w:rPr>
                <w:rFonts w:ascii="Times New Roman" w:eastAsia="Times New Roman" w:hAnsi="Times New Roman" w:cs="Times New Roman"/>
                <w:sz w:val="20"/>
                <w:szCs w:val="20"/>
                <w:lang w:val="en-US" w:eastAsia="ro-RO"/>
              </w:rPr>
            </w:pPr>
            <w:r w:rsidRPr="00685B29">
              <w:rPr>
                <w:rFonts w:ascii="Times New Roman" w:eastAsia="Times New Roman" w:hAnsi="Times New Roman" w:cs="Times New Roman"/>
                <w:sz w:val="20"/>
                <w:szCs w:val="20"/>
                <w:lang w:eastAsia="ro-RO"/>
              </w:rPr>
              <w:t xml:space="preserve">art.92 alin.(1): reorganizarea societăţii „se efectuează… în conformitate cu… legislaţia din domeniul concurenţei </w:t>
            </w:r>
            <w:r>
              <w:rPr>
                <w:rFonts w:ascii="Times New Roman" w:eastAsia="Times New Roman" w:hAnsi="Times New Roman" w:cs="Times New Roman"/>
                <w:sz w:val="20"/>
                <w:szCs w:val="20"/>
                <w:lang w:eastAsia="ro-RO"/>
              </w:rPr>
              <w:t>...”</w:t>
            </w:r>
            <w:r w:rsidRPr="00685B29">
              <w:rPr>
                <w:rFonts w:ascii="Times New Roman" w:eastAsia="Times New Roman" w:hAnsi="Times New Roman" w:cs="Times New Roman"/>
                <w:sz w:val="20"/>
                <w:szCs w:val="20"/>
                <w:lang w:eastAsia="ro-RO"/>
              </w:rPr>
              <w:t xml:space="preserve">, iar art.92 alin.(2) prevede că, „în cazurile prevăzute de legislaţia din domeniul concurenţei… </w:t>
            </w:r>
            <w:r w:rsidRPr="00685B29">
              <w:rPr>
                <w:rFonts w:ascii="Times New Roman" w:eastAsia="Times New Roman" w:hAnsi="Times New Roman" w:cs="Times New Roman"/>
                <w:sz w:val="20"/>
                <w:szCs w:val="20"/>
                <w:lang w:eastAsia="ro-RO"/>
              </w:rPr>
              <w:lastRenderedPageBreak/>
              <w:t>reorganizarea societăţii poate fi efectuată numai cu acordul organului de stat abilitat</w:t>
            </w:r>
            <w:r>
              <w:rPr>
                <w:rFonts w:ascii="Times New Roman" w:eastAsia="Times New Roman" w:hAnsi="Times New Roman" w:cs="Times New Roman"/>
                <w:sz w:val="20"/>
                <w:szCs w:val="20"/>
                <w:lang w:eastAsia="ro-RO"/>
              </w:rPr>
              <w:t>”</w:t>
            </w:r>
            <w:r w:rsidRPr="00685B29">
              <w:rPr>
                <w:rFonts w:ascii="Times New Roman" w:eastAsia="Times New Roman" w:hAnsi="Times New Roman" w:cs="Times New Roman"/>
                <w:sz w:val="20"/>
                <w:szCs w:val="20"/>
                <w:lang w:eastAsia="ro-RO"/>
              </w:rPr>
              <w:t>.</w:t>
            </w:r>
          </w:p>
          <w:p w14:paraId="69457CA6" w14:textId="77777777" w:rsidR="00F82F5B" w:rsidRPr="00F82F5B" w:rsidRDefault="00F82F5B" w:rsidP="00F82F5B">
            <w:pPr>
              <w:spacing w:after="0" w:line="240" w:lineRule="auto"/>
              <w:jc w:val="both"/>
              <w:rPr>
                <w:rFonts w:ascii="Times New Roman" w:eastAsia="Times New Roman" w:hAnsi="Times New Roman" w:cs="Times New Roman"/>
                <w:bCs/>
                <w:sz w:val="20"/>
                <w:szCs w:val="20"/>
                <w:lang w:val="ro-RO" w:eastAsia="ro-RO"/>
              </w:rPr>
            </w:pPr>
            <w:r w:rsidRPr="0092489E">
              <w:rPr>
                <w:rFonts w:ascii="Times New Roman" w:eastAsia="Times New Roman" w:hAnsi="Times New Roman" w:cs="Times New Roman"/>
                <w:sz w:val="20"/>
                <w:szCs w:val="20"/>
                <w:lang w:val="ro-RO" w:eastAsia="ro-RO"/>
              </w:rPr>
              <w:t>Prin urmare, obligaţia de respectare a legislaţiei concurenţei şi, după caz, de obţinere a acordului organului abilitat este deja încorporată, prin efectul normelor citate, fără a fi necesară reluarea ei în prezenta lege.</w:t>
            </w:r>
          </w:p>
        </w:tc>
      </w:tr>
      <w:tr w:rsidR="008F2120" w:rsidRPr="00104D47" w14:paraId="149A4081" w14:textId="77777777" w:rsidTr="000B07F2">
        <w:trPr>
          <w:jc w:val="center"/>
        </w:trPr>
        <w:tc>
          <w:tcPr>
            <w:tcW w:w="1197" w:type="pct"/>
            <w:vMerge w:val="restart"/>
            <w:tcMar>
              <w:top w:w="24" w:type="dxa"/>
              <w:left w:w="48" w:type="dxa"/>
              <w:bottom w:w="24" w:type="dxa"/>
              <w:right w:w="48" w:type="dxa"/>
            </w:tcMar>
            <w:vAlign w:val="center"/>
          </w:tcPr>
          <w:p w14:paraId="0D881C8F" w14:textId="77777777" w:rsidR="008F2120" w:rsidRPr="00B22429" w:rsidRDefault="008F2120" w:rsidP="008F2120">
            <w:pPr>
              <w:spacing w:after="0" w:line="240" w:lineRule="auto"/>
              <w:rPr>
                <w:rFonts w:ascii="Times New Roman" w:hAnsi="Times New Roman" w:cs="Times New Roman"/>
                <w:b/>
                <w:sz w:val="20"/>
                <w:szCs w:val="20"/>
              </w:rPr>
            </w:pPr>
            <w:r w:rsidRPr="00B22429">
              <w:rPr>
                <w:rFonts w:ascii="Times New Roman" w:hAnsi="Times New Roman" w:cs="Times New Roman"/>
                <w:b/>
                <w:sz w:val="20"/>
                <w:szCs w:val="20"/>
              </w:rPr>
              <w:lastRenderedPageBreak/>
              <w:t xml:space="preserve">Articolul 39. Regimul tranzacțiilor personale </w:t>
            </w:r>
          </w:p>
          <w:p w14:paraId="39BC5990" w14:textId="77777777" w:rsidR="008F2120" w:rsidRPr="00B22429" w:rsidRDefault="008F2120" w:rsidP="008F2120">
            <w:pPr>
              <w:spacing w:after="0" w:line="240" w:lineRule="auto"/>
              <w:rPr>
                <w:rFonts w:ascii="Times New Roman" w:hAnsi="Times New Roman" w:cs="Times New Roman"/>
                <w:sz w:val="20"/>
                <w:szCs w:val="20"/>
                <w:lang w:val="ro-RO"/>
              </w:rPr>
            </w:pPr>
            <w:r w:rsidRPr="00B22429">
              <w:rPr>
                <w:rFonts w:ascii="Times New Roman" w:hAnsi="Times New Roman" w:cs="Times New Roman"/>
                <w:sz w:val="20"/>
                <w:szCs w:val="20"/>
                <w:lang w:val="ro-RO"/>
              </w:rPr>
              <w:t>(6) Firmele de investiții sunt obligate să stabilească şi să aplice măsuri care:</w:t>
            </w:r>
          </w:p>
          <w:p w14:paraId="09C4CB53" w14:textId="77777777" w:rsidR="008F2120" w:rsidRPr="00B22429" w:rsidRDefault="008F2120" w:rsidP="008F2120">
            <w:pPr>
              <w:spacing w:after="0" w:line="240" w:lineRule="auto"/>
              <w:rPr>
                <w:rFonts w:ascii="Times New Roman" w:hAnsi="Times New Roman" w:cs="Times New Roman"/>
                <w:sz w:val="20"/>
                <w:szCs w:val="20"/>
                <w:lang w:val="ro-RO"/>
              </w:rPr>
            </w:pPr>
            <w:r w:rsidRPr="00B739FA">
              <w:rPr>
                <w:rFonts w:ascii="Times New Roman" w:hAnsi="Times New Roman" w:cs="Times New Roman"/>
                <w:sz w:val="20"/>
                <w:szCs w:val="20"/>
              </w:rPr>
              <w:t xml:space="preserve">[…] </w:t>
            </w:r>
            <w:r w:rsidRPr="00B22429">
              <w:rPr>
                <w:rFonts w:ascii="Times New Roman" w:hAnsi="Times New Roman" w:cs="Times New Roman"/>
                <w:sz w:val="20"/>
                <w:szCs w:val="20"/>
                <w:lang w:val="ro-RO"/>
              </w:rPr>
              <w:t>c) să asigure că firma de investiții este informată cu promptitudine cu privire la orice tranzacţie personală efectuată de o persoană relevantă, fie prin notificarea tranzacţiei respective, fie prin alte proceduri care îi permit firmei să identifice tranzacţiile respective;</w:t>
            </w:r>
          </w:p>
          <w:p w14:paraId="5DB8D2BE" w14:textId="77777777" w:rsidR="008F2120" w:rsidRPr="00B22429" w:rsidRDefault="008F2120" w:rsidP="008F2120">
            <w:pPr>
              <w:pStyle w:val="Listparagraf"/>
              <w:tabs>
                <w:tab w:val="left" w:pos="426"/>
              </w:tabs>
              <w:spacing w:after="0" w:line="240" w:lineRule="auto"/>
              <w:ind w:left="0"/>
              <w:rPr>
                <w:rFonts w:ascii="Times New Roman" w:hAnsi="Times New Roman" w:cs="Times New Roman"/>
                <w:b/>
                <w:sz w:val="20"/>
                <w:szCs w:val="20"/>
              </w:rPr>
            </w:pPr>
            <w:r w:rsidRPr="00B739FA">
              <w:rPr>
                <w:rFonts w:ascii="Times New Roman" w:hAnsi="Times New Roman" w:cs="Times New Roman"/>
                <w:sz w:val="20"/>
                <w:szCs w:val="20"/>
                <w:lang w:val="ro-RO"/>
              </w:rPr>
              <w:t xml:space="preserve">[…] </w:t>
            </w:r>
            <w:r w:rsidRPr="00B22429">
              <w:rPr>
                <w:rFonts w:ascii="Times New Roman" w:hAnsi="Times New Roman" w:cs="Times New Roman"/>
                <w:sz w:val="20"/>
                <w:szCs w:val="20"/>
                <w:lang w:val="ro-RO"/>
              </w:rPr>
              <w:t>e) să asigure firma de investiții, în cazul acordurilor de externalizare, că firma căreia i se externalizează activitatea păstrează o evidență a tranzacțiilor personale încheiată de orice persoană relevantă și, la cerere, îi furnizează cu promptitudine firmei de investiții informațiile respective.</w:t>
            </w:r>
          </w:p>
        </w:tc>
        <w:tc>
          <w:tcPr>
            <w:tcW w:w="599" w:type="pct"/>
            <w:tcMar>
              <w:top w:w="24" w:type="dxa"/>
              <w:left w:w="48" w:type="dxa"/>
              <w:bottom w:w="24" w:type="dxa"/>
              <w:right w:w="48" w:type="dxa"/>
            </w:tcMar>
            <w:vAlign w:val="center"/>
          </w:tcPr>
          <w:p w14:paraId="1679A794"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Energbank</w:t>
            </w:r>
          </w:p>
          <w:p w14:paraId="541EA976" w14:textId="77777777" w:rsidR="008A1D50"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nr.08/04/617 din 15.05.2026)</w:t>
            </w:r>
          </w:p>
        </w:tc>
        <w:tc>
          <w:tcPr>
            <w:tcW w:w="184" w:type="pct"/>
            <w:tcMar>
              <w:top w:w="24" w:type="dxa"/>
              <w:left w:w="48" w:type="dxa"/>
              <w:bottom w:w="24" w:type="dxa"/>
              <w:right w:w="48" w:type="dxa"/>
            </w:tcMar>
            <w:vAlign w:val="center"/>
          </w:tcPr>
          <w:p w14:paraId="375805C2" w14:textId="77777777" w:rsidR="008F2120" w:rsidRDefault="00F82F5B"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27</w:t>
            </w:r>
          </w:p>
        </w:tc>
        <w:tc>
          <w:tcPr>
            <w:tcW w:w="1747" w:type="pct"/>
            <w:tcMar>
              <w:top w:w="24" w:type="dxa"/>
              <w:left w:w="48" w:type="dxa"/>
              <w:bottom w:w="24" w:type="dxa"/>
              <w:right w:w="48" w:type="dxa"/>
            </w:tcMar>
            <w:vAlign w:val="center"/>
          </w:tcPr>
          <w:p w14:paraId="46E1C0E9"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bCs/>
                <w:sz w:val="20"/>
                <w:szCs w:val="20"/>
              </w:rPr>
              <w:t>Art. 39 alin.(6) lit.c) și e), s</w:t>
            </w:r>
            <w:r>
              <w:rPr>
                <w:rFonts w:ascii="Times New Roman" w:hAnsi="Times New Roman" w:cs="Times New Roman"/>
                <w:sz w:val="20"/>
                <w:szCs w:val="20"/>
              </w:rPr>
              <w:t>e recomandă reconsiderarea formulării obligației de monitorizare a tranzacțiilor personale efectuate în afara infrastructurii firmei de investiții, prin limitarea acesteia la informația pe care firma o poate obține în mod rezonabil și proporțional, pentru a evita instituirea unor obligații dificil de implementat practic.</w:t>
            </w:r>
          </w:p>
        </w:tc>
        <w:tc>
          <w:tcPr>
            <w:tcW w:w="1273" w:type="pct"/>
            <w:vMerge w:val="restart"/>
            <w:tcMar>
              <w:top w:w="24" w:type="dxa"/>
              <w:left w:w="48" w:type="dxa"/>
              <w:bottom w:w="24" w:type="dxa"/>
              <w:right w:w="48" w:type="dxa"/>
            </w:tcMar>
            <w:vAlign w:val="center"/>
          </w:tcPr>
          <w:p w14:paraId="5DB297E3" w14:textId="77777777" w:rsidR="008F2120" w:rsidRPr="0089598C" w:rsidRDefault="008F2120"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Nu se acceptă </w:t>
            </w:r>
          </w:p>
          <w:p w14:paraId="2779D93A" w14:textId="77777777" w:rsidR="008F2120" w:rsidRDefault="008F2120" w:rsidP="008F2120">
            <w:pPr>
              <w:spacing w:after="0" w:line="240" w:lineRule="auto"/>
              <w:jc w:val="both"/>
              <w:rPr>
                <w:rFonts w:ascii="Times New Roman" w:eastAsia="Times New Roman" w:hAnsi="Times New Roman" w:cs="Times New Roman"/>
                <w:sz w:val="20"/>
                <w:szCs w:val="20"/>
                <w:lang w:val="ro-RO" w:eastAsia="ro-RO"/>
              </w:rPr>
            </w:pPr>
            <w:r w:rsidRPr="00DE30DC">
              <w:rPr>
                <w:rFonts w:ascii="Times New Roman" w:eastAsia="Times New Roman" w:hAnsi="Times New Roman" w:cs="Times New Roman"/>
                <w:sz w:val="20"/>
                <w:szCs w:val="20"/>
                <w:lang w:val="ro-RO" w:eastAsia="ro-RO"/>
              </w:rPr>
              <w:t>Art. 39 alin. (6) lit. c) și e) din proiect instituie o obligație de principiu</w:t>
            </w:r>
            <w:r>
              <w:rPr>
                <w:rFonts w:ascii="Times New Roman" w:eastAsia="Times New Roman" w:hAnsi="Times New Roman" w:cs="Times New Roman"/>
                <w:sz w:val="20"/>
                <w:szCs w:val="20"/>
                <w:lang w:val="ro-RO" w:eastAsia="ro-RO"/>
              </w:rPr>
              <w:t xml:space="preserve"> – </w:t>
            </w:r>
            <w:r w:rsidRPr="00DE30DC">
              <w:rPr>
                <w:rFonts w:ascii="Times New Roman" w:eastAsia="Times New Roman" w:hAnsi="Times New Roman" w:cs="Times New Roman"/>
                <w:sz w:val="20"/>
                <w:szCs w:val="20"/>
                <w:lang w:val="ro-RO" w:eastAsia="ro-RO"/>
              </w:rPr>
              <w:t xml:space="preserve">firma de investiții trebuie să stabilească și să aplice măsuri apte să asigure informarea cu privire la tranzacțiile personale și păstrarea evidenței acestora în cazul externalizării </w:t>
            </w:r>
            <w:r>
              <w:rPr>
                <w:rFonts w:ascii="Times New Roman" w:eastAsia="Times New Roman" w:hAnsi="Times New Roman" w:cs="Times New Roman"/>
                <w:sz w:val="20"/>
                <w:szCs w:val="20"/>
                <w:lang w:val="ro-RO" w:eastAsia="ro-RO"/>
              </w:rPr>
              <w:t xml:space="preserve">– </w:t>
            </w:r>
            <w:r w:rsidRPr="00DE30DC">
              <w:rPr>
                <w:rFonts w:ascii="Times New Roman" w:eastAsia="Times New Roman" w:hAnsi="Times New Roman" w:cs="Times New Roman"/>
                <w:sz w:val="20"/>
                <w:szCs w:val="20"/>
                <w:lang w:val="ro-RO" w:eastAsia="ro-RO"/>
              </w:rPr>
              <w:t xml:space="preserve">fără a impune cerințe </w:t>
            </w:r>
            <w:r>
              <w:rPr>
                <w:rFonts w:ascii="Times New Roman" w:eastAsia="Times New Roman" w:hAnsi="Times New Roman" w:cs="Times New Roman"/>
                <w:sz w:val="20"/>
                <w:szCs w:val="20"/>
                <w:lang w:val="ro-RO" w:eastAsia="ro-RO"/>
              </w:rPr>
              <w:t>sau</w:t>
            </w:r>
            <w:r w:rsidRPr="00DE30DC">
              <w:rPr>
                <w:rFonts w:ascii="Times New Roman" w:eastAsia="Times New Roman" w:hAnsi="Times New Roman" w:cs="Times New Roman"/>
                <w:sz w:val="20"/>
                <w:szCs w:val="20"/>
                <w:lang w:val="ro-RO" w:eastAsia="ro-RO"/>
              </w:rPr>
              <w:t xml:space="preserve"> detalii tehnice privind modalitățile concrete de implementare. </w:t>
            </w:r>
            <w:r>
              <w:rPr>
                <w:rFonts w:ascii="Times New Roman" w:eastAsia="Times New Roman" w:hAnsi="Times New Roman" w:cs="Times New Roman"/>
                <w:sz w:val="20"/>
                <w:szCs w:val="20"/>
                <w:lang w:val="ro-RO" w:eastAsia="ro-RO"/>
              </w:rPr>
              <w:t>T</w:t>
            </w:r>
            <w:r w:rsidRPr="00DE30DC">
              <w:rPr>
                <w:rFonts w:ascii="Times New Roman" w:eastAsia="Times New Roman" w:hAnsi="Times New Roman" w:cs="Times New Roman"/>
                <w:sz w:val="20"/>
                <w:szCs w:val="20"/>
                <w:lang w:val="ro-RO" w:eastAsia="ro-RO"/>
              </w:rPr>
              <w:t>ipul măsurilor adoptate (proceduri interne, mecanisme contractuale cu persoanele relevante, sisteme de notificare ori soluții automatizate de raportare) rămâne la latitudinea firmei</w:t>
            </w:r>
            <w:r>
              <w:rPr>
                <w:rFonts w:ascii="Times New Roman" w:eastAsia="Times New Roman" w:hAnsi="Times New Roman" w:cs="Times New Roman"/>
                <w:sz w:val="20"/>
                <w:szCs w:val="20"/>
                <w:lang w:val="ro-RO" w:eastAsia="ro-RO"/>
              </w:rPr>
              <w:t>.</w:t>
            </w:r>
          </w:p>
          <w:p w14:paraId="088F3FEB" w14:textId="77777777" w:rsidR="008F2120" w:rsidRDefault="008F2120" w:rsidP="008F2120">
            <w:pPr>
              <w:spacing w:after="0" w:line="240" w:lineRule="auto"/>
              <w:jc w:val="both"/>
              <w:rPr>
                <w:rFonts w:ascii="Times New Roman" w:eastAsia="Times New Roman" w:hAnsi="Times New Roman" w:cs="Times New Roman"/>
                <w:sz w:val="20"/>
                <w:szCs w:val="20"/>
                <w:lang w:val="ro-RO" w:eastAsia="ro-RO"/>
              </w:rPr>
            </w:pPr>
            <w:r>
              <w:rPr>
                <w:rFonts w:ascii="Times New Roman" w:eastAsia="Times New Roman" w:hAnsi="Times New Roman" w:cs="Times New Roman"/>
                <w:sz w:val="20"/>
                <w:szCs w:val="20"/>
                <w:lang w:val="ro-RO" w:eastAsia="ro-RO"/>
              </w:rPr>
              <w:t xml:space="preserve">Totodată, reconsiderarea normei prin limitarea la anumite circumstanțe solicitate nu este posibilă, deoarece aceste prevederi sunt transpuse din art.29 al Regulamentului UE 2017/565 în ceea ce privește cerințele organizatorice și condițiile de funcționare aplicabile firmelor de investiții și aceste prevederi sunt obligatorii. Totodată, la data aderării acestea vor fi aplicabile în mod direct. </w:t>
            </w:r>
          </w:p>
          <w:p w14:paraId="7A93D689" w14:textId="77777777" w:rsidR="008F2120" w:rsidRDefault="008F2120" w:rsidP="008F2120">
            <w:pPr>
              <w:spacing w:after="0" w:line="240" w:lineRule="auto"/>
              <w:jc w:val="both"/>
              <w:rPr>
                <w:rFonts w:ascii="Times New Roman" w:eastAsia="Times New Roman" w:hAnsi="Times New Roman" w:cs="Times New Roman"/>
                <w:b/>
                <w:sz w:val="20"/>
                <w:szCs w:val="20"/>
                <w:lang w:val="ro-RO" w:eastAsia="ro-RO"/>
              </w:rPr>
            </w:pPr>
          </w:p>
        </w:tc>
      </w:tr>
      <w:tr w:rsidR="008F2120" w:rsidRPr="00104D47" w14:paraId="1FA2A17F" w14:textId="77777777" w:rsidTr="000B07F2">
        <w:trPr>
          <w:jc w:val="center"/>
        </w:trPr>
        <w:tc>
          <w:tcPr>
            <w:tcW w:w="1197" w:type="pct"/>
            <w:vMerge/>
            <w:tcMar>
              <w:top w:w="24" w:type="dxa"/>
              <w:left w:w="48" w:type="dxa"/>
              <w:bottom w:w="24" w:type="dxa"/>
              <w:right w:w="48" w:type="dxa"/>
            </w:tcMar>
            <w:vAlign w:val="center"/>
          </w:tcPr>
          <w:p w14:paraId="7CA95CB7" w14:textId="77777777" w:rsidR="008F2120" w:rsidRDefault="008F2120" w:rsidP="008F2120">
            <w:pPr>
              <w:pStyle w:val="Listparagraf"/>
              <w:tabs>
                <w:tab w:val="left" w:pos="426"/>
              </w:tabs>
              <w:spacing w:after="0" w:line="240" w:lineRule="auto"/>
              <w:ind w:left="0"/>
              <w:rPr>
                <w:rFonts w:ascii="Times New Roman" w:hAnsi="Times New Roman" w:cs="Times New Roman"/>
                <w:b/>
                <w:sz w:val="20"/>
                <w:szCs w:val="20"/>
              </w:rPr>
            </w:pPr>
          </w:p>
        </w:tc>
        <w:tc>
          <w:tcPr>
            <w:tcW w:w="599" w:type="pct"/>
            <w:tcMar>
              <w:top w:w="24" w:type="dxa"/>
              <w:left w:w="48" w:type="dxa"/>
              <w:bottom w:w="24" w:type="dxa"/>
              <w:right w:w="48" w:type="dxa"/>
            </w:tcMar>
            <w:vAlign w:val="center"/>
          </w:tcPr>
          <w:p w14:paraId="0856E01B"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ABM</w:t>
            </w:r>
          </w:p>
          <w:p w14:paraId="07E01699" w14:textId="77777777" w:rsidR="008A1D50"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3ACF9432" w14:textId="77777777" w:rsidR="008F2120" w:rsidRDefault="00F82F5B"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28</w:t>
            </w:r>
          </w:p>
        </w:tc>
        <w:tc>
          <w:tcPr>
            <w:tcW w:w="1747" w:type="pct"/>
            <w:tcMar>
              <w:top w:w="24" w:type="dxa"/>
              <w:left w:w="48" w:type="dxa"/>
              <w:bottom w:w="24" w:type="dxa"/>
              <w:right w:w="48" w:type="dxa"/>
            </w:tcMar>
            <w:vAlign w:val="center"/>
          </w:tcPr>
          <w:p w14:paraId="487506E0"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bCs/>
                <w:sz w:val="20"/>
                <w:szCs w:val="20"/>
              </w:rPr>
              <w:t>În ceea ce privește articolul 39 alin. (6) lit. c) și e), referitor la tranzacțiile personale, recomandăm reconsiderarea formulării obligației de monitorizare a tranzacțiilor personale efectuate în afara infrastructurii firmei de investiții. Considerăm că această obligație ar trebui limitată la informațiile pe care firma le poate obține în mod rezonabil și proporțional, pentru a evita instituirea unor obligații dificil de implementat în practică.</w:t>
            </w:r>
          </w:p>
        </w:tc>
        <w:tc>
          <w:tcPr>
            <w:tcW w:w="1273" w:type="pct"/>
            <w:vMerge/>
            <w:tcMar>
              <w:top w:w="24" w:type="dxa"/>
              <w:left w:w="48" w:type="dxa"/>
              <w:bottom w:w="24" w:type="dxa"/>
              <w:right w:w="48" w:type="dxa"/>
            </w:tcMar>
            <w:vAlign w:val="center"/>
          </w:tcPr>
          <w:p w14:paraId="4C958881" w14:textId="77777777" w:rsidR="008F2120" w:rsidRDefault="008F2120" w:rsidP="008F2120">
            <w:pPr>
              <w:spacing w:after="0" w:line="240" w:lineRule="auto"/>
              <w:jc w:val="both"/>
              <w:rPr>
                <w:rFonts w:ascii="Times New Roman" w:eastAsia="Times New Roman" w:hAnsi="Times New Roman" w:cs="Times New Roman"/>
                <w:b/>
                <w:sz w:val="20"/>
                <w:szCs w:val="20"/>
                <w:lang w:val="ro-RO" w:eastAsia="ro-RO"/>
              </w:rPr>
            </w:pPr>
          </w:p>
        </w:tc>
      </w:tr>
      <w:tr w:rsidR="008F2120" w:rsidRPr="00104D47" w14:paraId="5414CF81" w14:textId="77777777" w:rsidTr="000B07F2">
        <w:trPr>
          <w:jc w:val="center"/>
        </w:trPr>
        <w:tc>
          <w:tcPr>
            <w:tcW w:w="1197" w:type="pct"/>
            <w:tcMar>
              <w:top w:w="24" w:type="dxa"/>
              <w:left w:w="48" w:type="dxa"/>
              <w:bottom w:w="24" w:type="dxa"/>
              <w:right w:w="48" w:type="dxa"/>
            </w:tcMar>
            <w:vAlign w:val="center"/>
          </w:tcPr>
          <w:p w14:paraId="3D1A3671" w14:textId="77777777" w:rsidR="008F2120" w:rsidRPr="00AB3DC3" w:rsidRDefault="008F2120" w:rsidP="008F2120">
            <w:pPr>
              <w:tabs>
                <w:tab w:val="left" w:pos="426"/>
                <w:tab w:val="left" w:pos="993"/>
              </w:tabs>
              <w:spacing w:after="0" w:line="240" w:lineRule="auto"/>
              <w:ind w:left="-5"/>
              <w:jc w:val="both"/>
              <w:rPr>
                <w:rFonts w:ascii="Times New Roman" w:hAnsi="Times New Roman" w:cs="Times New Roman"/>
                <w:b/>
                <w:sz w:val="20"/>
                <w:szCs w:val="20"/>
              </w:rPr>
            </w:pPr>
            <w:r>
              <w:rPr>
                <w:rFonts w:ascii="Times New Roman" w:hAnsi="Times New Roman" w:cs="Times New Roman"/>
                <w:b/>
                <w:sz w:val="20"/>
                <w:szCs w:val="20"/>
              </w:rPr>
              <w:t>Articolul 42. Mecanisme de protejare a instrumentelor financiare și a fondurilor</w:t>
            </w:r>
          </w:p>
          <w:p w14:paraId="31A75475" w14:textId="77777777" w:rsidR="008F2120" w:rsidRDefault="008F2120" w:rsidP="008F2120">
            <w:pPr>
              <w:spacing w:after="0" w:line="240" w:lineRule="auto"/>
              <w:rPr>
                <w:rFonts w:ascii="Times New Roman" w:hAnsi="Times New Roman" w:cs="Times New Roman"/>
                <w:b/>
                <w:sz w:val="20"/>
                <w:szCs w:val="20"/>
                <w:lang w:val="ro-RO"/>
              </w:rPr>
            </w:pPr>
            <w:r>
              <w:rPr>
                <w:rFonts w:ascii="Times New Roman" w:hAnsi="Times New Roman" w:cs="Times New Roman"/>
                <w:b/>
                <w:sz w:val="20"/>
                <w:szCs w:val="20"/>
              </w:rPr>
              <w:t>clienților</w:t>
            </w:r>
            <w:r>
              <w:rPr>
                <w:rFonts w:ascii="Times New Roman" w:hAnsi="Times New Roman" w:cs="Times New Roman"/>
                <w:b/>
                <w:sz w:val="20"/>
                <w:szCs w:val="20"/>
                <w:lang w:val="ro-RO"/>
              </w:rPr>
              <w:t xml:space="preserve"> </w:t>
            </w:r>
          </w:p>
          <w:p w14:paraId="7B5FEA50" w14:textId="77777777" w:rsidR="008F2120" w:rsidRPr="00C71263" w:rsidRDefault="008F2120" w:rsidP="008F2120">
            <w:pPr>
              <w:spacing w:after="0" w:line="240" w:lineRule="auto"/>
              <w:rPr>
                <w:rFonts w:ascii="Times New Roman" w:eastAsia="Times New Roman" w:hAnsi="Times New Roman" w:cs="Times New Roman"/>
                <w:b/>
                <w:iCs/>
                <w:sz w:val="20"/>
                <w:szCs w:val="20"/>
                <w:lang w:val="ro-RO" w:eastAsia="ro-RO"/>
              </w:rPr>
            </w:pPr>
            <w:r>
              <w:rPr>
                <w:rFonts w:ascii="Times New Roman" w:hAnsi="Times New Roman" w:cs="Times New Roman"/>
                <w:sz w:val="20"/>
                <w:szCs w:val="20"/>
                <w:lang w:val="ro-RO"/>
              </w:rPr>
              <w:t xml:space="preserve">(10) În scopul alin.(6)-(9) din prezentul articol, firmele de investiții sunt obligate să pună la dispoziția organelor competente, </w:t>
            </w:r>
            <w:r>
              <w:rPr>
                <w:rFonts w:ascii="Times New Roman" w:hAnsi="Times New Roman" w:cs="Times New Roman"/>
                <w:sz w:val="20"/>
                <w:szCs w:val="20"/>
                <w:lang w:val="ro-RO"/>
              </w:rPr>
              <w:lastRenderedPageBreak/>
              <w:t>administratorilor insolvabilității, și autorităților responsabile cu rezoluţia instituţiilor care se confruntă cu dificultăţi majore, într-un format ușor accesibil și structurat, informațiile relevante privind instrumentele financiare și fondurile specificate la alin.(1) şi (2), care trebuie să includă următoarele:</w:t>
            </w:r>
            <w:r w:rsidRPr="00B739FA">
              <w:rPr>
                <w:rFonts w:ascii="Times New Roman" w:hAnsi="Times New Roman" w:cs="Times New Roman"/>
                <w:sz w:val="20"/>
                <w:szCs w:val="20"/>
              </w:rPr>
              <w:t xml:space="preserve"> […]</w:t>
            </w:r>
          </w:p>
        </w:tc>
        <w:tc>
          <w:tcPr>
            <w:tcW w:w="599" w:type="pct"/>
            <w:tcMar>
              <w:top w:w="24" w:type="dxa"/>
              <w:left w:w="48" w:type="dxa"/>
              <w:bottom w:w="24" w:type="dxa"/>
              <w:right w:w="48" w:type="dxa"/>
            </w:tcMar>
            <w:vAlign w:val="center"/>
          </w:tcPr>
          <w:p w14:paraId="29ACE8CA"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BNM</w:t>
            </w:r>
          </w:p>
          <w:p w14:paraId="696B4C3F"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5458F5EF"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73DFC4FC" w14:textId="77777777" w:rsidR="00577530" w:rsidRPr="00724452" w:rsidRDefault="00577530"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6A94FEB7" w14:textId="77777777" w:rsidR="008F2120" w:rsidRDefault="00F82F5B"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29</w:t>
            </w:r>
          </w:p>
        </w:tc>
        <w:tc>
          <w:tcPr>
            <w:tcW w:w="1747" w:type="pct"/>
            <w:tcMar>
              <w:top w:w="24" w:type="dxa"/>
              <w:left w:w="48" w:type="dxa"/>
              <w:bottom w:w="24" w:type="dxa"/>
              <w:right w:w="48" w:type="dxa"/>
            </w:tcMar>
            <w:vAlign w:val="center"/>
          </w:tcPr>
          <w:p w14:paraId="70FCA664"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La art. 42 alin. (10) din proiect, se propune substituirea sintagmei „se confruntă cu dificultăți majore” cu sintagma „se confruntă cu dificultăți”, pentru transpunerea fidelă a Directivei. Subliniem că, în proiectul de lege de modificare a Legii nr. 232/2016 privind redresarea și rezoluția băncilor, la fel au fost incluse modificări în acest sens.</w:t>
            </w:r>
          </w:p>
        </w:tc>
        <w:tc>
          <w:tcPr>
            <w:tcW w:w="1273" w:type="pct"/>
            <w:tcMar>
              <w:top w:w="24" w:type="dxa"/>
              <w:left w:w="48" w:type="dxa"/>
              <w:bottom w:w="24" w:type="dxa"/>
              <w:right w:w="48" w:type="dxa"/>
            </w:tcMar>
            <w:vAlign w:val="center"/>
          </w:tcPr>
          <w:p w14:paraId="27884A75" w14:textId="77777777" w:rsidR="008F2120" w:rsidRPr="003A6C26" w:rsidRDefault="008F2120"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Se acceptă </w:t>
            </w:r>
          </w:p>
          <w:p w14:paraId="329D355C" w14:textId="77777777" w:rsidR="008F2120" w:rsidRDefault="008F2120" w:rsidP="008F212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val="ro-RO" w:eastAsia="ro-RO"/>
              </w:rPr>
              <w:t>Au fost operate modificări la art.42 alin.(10): sintagma „se confruntă cu dificultăți majore” a fost înlocuită cu „se confruntă cu dificultăți”.</w:t>
            </w:r>
          </w:p>
        </w:tc>
      </w:tr>
      <w:tr w:rsidR="008F2120" w:rsidRPr="00104D47" w14:paraId="2658DC91" w14:textId="77777777" w:rsidTr="000B07F2">
        <w:trPr>
          <w:jc w:val="center"/>
        </w:trPr>
        <w:tc>
          <w:tcPr>
            <w:tcW w:w="1197" w:type="pct"/>
            <w:tcMar>
              <w:top w:w="24" w:type="dxa"/>
              <w:left w:w="48" w:type="dxa"/>
              <w:bottom w:w="24" w:type="dxa"/>
              <w:right w:w="48" w:type="dxa"/>
            </w:tcMar>
            <w:vAlign w:val="center"/>
          </w:tcPr>
          <w:p w14:paraId="3D6973D6" w14:textId="77777777" w:rsidR="008F2120" w:rsidRDefault="008F2120" w:rsidP="008F2120">
            <w:pPr>
              <w:spacing w:after="0" w:line="240" w:lineRule="auto"/>
              <w:jc w:val="both"/>
              <w:rPr>
                <w:rFonts w:ascii="Times New Roman" w:eastAsiaTheme="majorEastAsia" w:hAnsi="Times New Roman" w:cs="Times New Roman"/>
                <w:b/>
                <w:iCs/>
                <w:sz w:val="20"/>
                <w:szCs w:val="20"/>
                <w:lang w:val="ro-RO"/>
              </w:rPr>
            </w:pPr>
            <w:r>
              <w:rPr>
                <w:rFonts w:ascii="Times New Roman" w:eastAsiaTheme="majorEastAsia" w:hAnsi="Times New Roman" w:cs="Times New Roman"/>
                <w:b/>
                <w:iCs/>
                <w:sz w:val="20"/>
                <w:szCs w:val="20"/>
                <w:lang w:val="ro-RO"/>
              </w:rPr>
              <w:t>Articolul 66. Evidența și raportarea tranzacțiilor</w:t>
            </w:r>
          </w:p>
          <w:p w14:paraId="118DA8C5" w14:textId="77777777" w:rsidR="008F2120" w:rsidRDefault="008F2120" w:rsidP="008F2120">
            <w:pPr>
              <w:spacing w:after="0" w:line="240" w:lineRule="auto"/>
              <w:jc w:val="both"/>
              <w:rPr>
                <w:rFonts w:ascii="Times New Roman" w:hAnsi="Times New Roman" w:cs="Times New Roman"/>
                <w:sz w:val="20"/>
                <w:szCs w:val="20"/>
                <w:lang w:val="ro-RO"/>
              </w:rPr>
            </w:pPr>
            <w:r>
              <w:rPr>
                <w:rFonts w:ascii="Times New Roman" w:hAnsi="Times New Roman" w:cs="Times New Roman"/>
                <w:sz w:val="20"/>
                <w:szCs w:val="20"/>
                <w:lang w:val="ro-RO"/>
              </w:rPr>
              <w:t>....</w:t>
            </w:r>
          </w:p>
          <w:p w14:paraId="029040BF" w14:textId="77777777" w:rsidR="008F2120" w:rsidRPr="00C71263" w:rsidRDefault="008F2120" w:rsidP="008F2120">
            <w:pPr>
              <w:spacing w:after="0" w:line="240" w:lineRule="auto"/>
              <w:rPr>
                <w:rFonts w:ascii="Times New Roman" w:eastAsia="Times New Roman" w:hAnsi="Times New Roman" w:cs="Times New Roman"/>
                <w:b/>
                <w:iCs/>
                <w:sz w:val="20"/>
                <w:szCs w:val="20"/>
                <w:lang w:val="ro-RO" w:eastAsia="ro-RO"/>
              </w:rPr>
            </w:pPr>
            <w:r>
              <w:rPr>
                <w:rFonts w:ascii="Times New Roman" w:hAnsi="Times New Roman" w:cs="Times New Roman"/>
                <w:sz w:val="20"/>
                <w:szCs w:val="20"/>
                <w:lang w:val="ro-RO"/>
              </w:rPr>
              <w:t>(8) CNPF stabilește, prin actele sale normative, condițiile și cerințele necesare pentru punerea în executare a prezentului articol.</w:t>
            </w:r>
          </w:p>
        </w:tc>
        <w:tc>
          <w:tcPr>
            <w:tcW w:w="599" w:type="pct"/>
            <w:tcMar>
              <w:top w:w="24" w:type="dxa"/>
              <w:left w:w="48" w:type="dxa"/>
              <w:bottom w:w="24" w:type="dxa"/>
              <w:right w:w="48" w:type="dxa"/>
            </w:tcMar>
            <w:vAlign w:val="center"/>
          </w:tcPr>
          <w:p w14:paraId="7310952F"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5E3815F3"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28AEEF02"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5A13F07F" w14:textId="77777777" w:rsidR="00577530" w:rsidRPr="00724452" w:rsidRDefault="00577530"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49FE30FF" w14:textId="77777777" w:rsidR="008F2120" w:rsidRDefault="00F82F5B"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30</w:t>
            </w:r>
          </w:p>
        </w:tc>
        <w:tc>
          <w:tcPr>
            <w:tcW w:w="1747" w:type="pct"/>
            <w:tcMar>
              <w:top w:w="24" w:type="dxa"/>
              <w:left w:w="48" w:type="dxa"/>
              <w:bottom w:w="24" w:type="dxa"/>
              <w:right w:w="48" w:type="dxa"/>
            </w:tcMar>
            <w:vAlign w:val="center"/>
          </w:tcPr>
          <w:p w14:paraId="37AA7FF4"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La art. 66 din proiect, se consideră necesară consultarea cu BNM a proiectului actului normativ la etapa de elaborare a formularelor de raportare, în vederea încorporării datelor necesare pentru elaborarea statisticii oficiale din aria de competență a BNM, astfel evitându-se elaborarea unei raportări separate, care ar crește presiunea de raportare pe firmele de investiții.</w:t>
            </w:r>
          </w:p>
        </w:tc>
        <w:tc>
          <w:tcPr>
            <w:tcW w:w="1273" w:type="pct"/>
            <w:tcMar>
              <w:top w:w="24" w:type="dxa"/>
              <w:left w:w="48" w:type="dxa"/>
              <w:bottom w:w="24" w:type="dxa"/>
              <w:right w:w="48" w:type="dxa"/>
            </w:tcMar>
            <w:vAlign w:val="center"/>
          </w:tcPr>
          <w:p w14:paraId="22FB7AE6" w14:textId="77777777" w:rsidR="008F2120" w:rsidRPr="00EE65F4" w:rsidRDefault="008F2120" w:rsidP="008F2120">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b/>
                <w:sz w:val="20"/>
                <w:szCs w:val="20"/>
                <w:lang w:eastAsia="ro-RO"/>
              </w:rPr>
              <w:t>Se ia act</w:t>
            </w:r>
          </w:p>
          <w:p w14:paraId="24A6996E" w14:textId="77777777" w:rsidR="008F2120" w:rsidRDefault="008F2120" w:rsidP="008F2120">
            <w:pPr>
              <w:spacing w:after="0" w:line="240" w:lineRule="auto"/>
              <w:jc w:val="both"/>
              <w:rPr>
                <w:rFonts w:ascii="Times New Roman" w:hAnsi="Times New Roman" w:cs="Times New Roman"/>
                <w:b/>
                <w:bCs/>
                <w:sz w:val="20"/>
                <w:szCs w:val="20"/>
              </w:rPr>
            </w:pPr>
          </w:p>
        </w:tc>
      </w:tr>
      <w:tr w:rsidR="008F2120" w:rsidRPr="00104D47" w14:paraId="5E26D75F" w14:textId="77777777" w:rsidTr="000B07F2">
        <w:trPr>
          <w:jc w:val="center"/>
        </w:trPr>
        <w:tc>
          <w:tcPr>
            <w:tcW w:w="1197" w:type="pct"/>
            <w:tcMar>
              <w:top w:w="24" w:type="dxa"/>
              <w:left w:w="48" w:type="dxa"/>
              <w:bottom w:w="24" w:type="dxa"/>
              <w:right w:w="48" w:type="dxa"/>
            </w:tcMar>
            <w:vAlign w:val="center"/>
          </w:tcPr>
          <w:p w14:paraId="3A1264B8" w14:textId="77777777" w:rsidR="008F2120" w:rsidRPr="00EE65F4" w:rsidRDefault="008F2120" w:rsidP="008F2120">
            <w:pPr>
              <w:spacing w:after="0" w:line="240" w:lineRule="auto"/>
              <w:jc w:val="both"/>
              <w:rPr>
                <w:rFonts w:ascii="Times New Roman" w:eastAsiaTheme="majorEastAsia" w:hAnsi="Times New Roman" w:cs="Times New Roman"/>
                <w:b/>
                <w:iCs/>
                <w:sz w:val="20"/>
                <w:szCs w:val="20"/>
                <w:lang w:val="ro-RO"/>
              </w:rPr>
            </w:pPr>
            <w:r>
              <w:rPr>
                <w:rFonts w:ascii="Times New Roman" w:eastAsiaTheme="majorEastAsia" w:hAnsi="Times New Roman" w:cs="Times New Roman"/>
                <w:b/>
                <w:iCs/>
                <w:sz w:val="20"/>
                <w:szCs w:val="20"/>
                <w:lang w:val="ro-RO"/>
              </w:rPr>
              <w:t>Articolul 98. Admiterea spre tranzacţionare pe piaţa reglementată a valorilor mobiliare emise de Ministerul Finanţelor, BNM, de autorităţile administraţiei publice locale şi de organismele internaţionale cu caracter public</w:t>
            </w:r>
          </w:p>
          <w:p w14:paraId="6EAEA99A" w14:textId="77777777" w:rsidR="008F2120" w:rsidRPr="00EE65F4"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(1) Valorile mobiliare emise de Ministerul Finanţelor, de BNM, de autorităţile administraţiei publice locale şi de organismele internaţionale cu caracter public (în continuare în prezentul articol – autorităţi) pot fi admise spre tranzacţionare pe piaţa reglementată doar la iniţiativa acestor autorităţi.</w:t>
            </w:r>
          </w:p>
          <w:p w14:paraId="3DAD7314" w14:textId="77777777" w:rsidR="008F2120" w:rsidRPr="00EE65F4"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(2) Modul şi condiţiile de admitere spre tranzacţionare a valorilor mobiliare emise de Ministerul Finanţelor şi de BNM se stabilesc de Ministerul Finanţelor şi, respectiv, de BNM, în comun cu CNPF.</w:t>
            </w:r>
          </w:p>
          <w:p w14:paraId="4224A31A" w14:textId="77777777" w:rsidR="008F2120" w:rsidRPr="00EE65F4"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lastRenderedPageBreak/>
              <w:t>(3) Modul şi condiţiile de admitere spre tranzacţionare a valorilor mobiliare emise de autorităţile administraţiei publice locale şi de organismele internaţionale cu caracter public se stabilesc în conformitate cu actele normative ale CNPF.</w:t>
            </w:r>
          </w:p>
          <w:p w14:paraId="1291F84F" w14:textId="77777777" w:rsidR="008F2120" w:rsidRPr="00EE65F4"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(4) Nu pot fi admise spre tranzacţionare valori mobiliare care, conform deciziei autorităţii în cauză, nu pot fi liber tranzacţionate.</w:t>
            </w:r>
          </w:p>
          <w:p w14:paraId="04EFBCB4" w14:textId="77777777" w:rsidR="008F2120" w:rsidRPr="00C71263" w:rsidRDefault="008F2120" w:rsidP="008F2120">
            <w:pPr>
              <w:spacing w:after="0" w:line="240" w:lineRule="auto"/>
              <w:rPr>
                <w:rFonts w:ascii="Times New Roman" w:eastAsia="Times New Roman" w:hAnsi="Times New Roman" w:cs="Times New Roman"/>
                <w:b/>
                <w:iCs/>
                <w:sz w:val="20"/>
                <w:szCs w:val="20"/>
                <w:lang w:val="ro-RO" w:eastAsia="ro-RO"/>
              </w:rPr>
            </w:pPr>
            <w:r>
              <w:rPr>
                <w:rFonts w:ascii="Times New Roman" w:eastAsiaTheme="majorEastAsia" w:hAnsi="Times New Roman" w:cs="Times New Roman"/>
                <w:bCs/>
                <w:iCs/>
                <w:sz w:val="20"/>
                <w:szCs w:val="20"/>
                <w:lang w:val="ro-RO"/>
              </w:rPr>
              <w:t>(5) La emisiunea valorilor mobiliare emise de autorităţi prin ofertă publică, admiterea spre tranzacţionare a acestor valori mobiliare poate avea loc doar după încheierea perioadei de subscriere la aceste valori mobiliare.</w:t>
            </w:r>
          </w:p>
        </w:tc>
        <w:tc>
          <w:tcPr>
            <w:tcW w:w="599" w:type="pct"/>
            <w:tcMar>
              <w:top w:w="24" w:type="dxa"/>
              <w:left w:w="48" w:type="dxa"/>
              <w:bottom w:w="24" w:type="dxa"/>
              <w:right w:w="48" w:type="dxa"/>
            </w:tcMar>
            <w:vAlign w:val="center"/>
          </w:tcPr>
          <w:p w14:paraId="7C26FC3C"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BNM</w:t>
            </w:r>
          </w:p>
          <w:p w14:paraId="7EA7887F" w14:textId="77777777" w:rsidR="00577530" w:rsidRPr="0003123E"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7C2C7654" w14:textId="77777777" w:rsidR="00577530" w:rsidRDefault="00577530" w:rsidP="0057753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50C48101" w14:textId="77777777" w:rsidR="00577530" w:rsidRPr="00724452" w:rsidRDefault="00577530"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1D95F362" w14:textId="77777777" w:rsidR="008F2120" w:rsidRDefault="00F82F5B"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31</w:t>
            </w:r>
          </w:p>
        </w:tc>
        <w:tc>
          <w:tcPr>
            <w:tcW w:w="1747" w:type="pct"/>
            <w:tcMar>
              <w:top w:w="24" w:type="dxa"/>
              <w:left w:w="48" w:type="dxa"/>
              <w:bottom w:w="24" w:type="dxa"/>
              <w:right w:w="48" w:type="dxa"/>
            </w:tcMar>
            <w:vAlign w:val="center"/>
          </w:tcPr>
          <w:p w14:paraId="1CA6BF49"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Având în vedere denumirea art. 98, în vederea asigurării unui nivel mai înalt de certitudine în aplicarea normelor, se propune definirea în proiect a noțiunii „organisme internaționale cu caracter public”.</w:t>
            </w:r>
          </w:p>
        </w:tc>
        <w:tc>
          <w:tcPr>
            <w:tcW w:w="1273" w:type="pct"/>
            <w:tcMar>
              <w:top w:w="24" w:type="dxa"/>
              <w:left w:w="48" w:type="dxa"/>
              <w:bottom w:w="24" w:type="dxa"/>
              <w:right w:w="48" w:type="dxa"/>
            </w:tcMar>
            <w:vAlign w:val="center"/>
          </w:tcPr>
          <w:p w14:paraId="44050E57" w14:textId="77777777" w:rsidR="008F2120" w:rsidRDefault="008F2120" w:rsidP="008F2120">
            <w:pPr>
              <w:spacing w:after="0" w:line="240" w:lineRule="auto"/>
              <w:jc w:val="both"/>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Nu se acceptă</w:t>
            </w:r>
          </w:p>
          <w:p w14:paraId="1103E9A3" w14:textId="77777777" w:rsidR="008F2120" w:rsidRDefault="008F2120" w:rsidP="008F212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eastAsia="ro-RO"/>
              </w:rPr>
              <w:t>În urma consultărilor publice, sintagma „organisme internaționale cu caracter public” a fost exclusă din art. 98 al proiectului.</w:t>
            </w:r>
          </w:p>
        </w:tc>
      </w:tr>
      <w:tr w:rsidR="008F2120" w:rsidRPr="00104D47" w14:paraId="638AAC30" w14:textId="77777777" w:rsidTr="000B07F2">
        <w:trPr>
          <w:jc w:val="center"/>
        </w:trPr>
        <w:tc>
          <w:tcPr>
            <w:tcW w:w="1197" w:type="pct"/>
            <w:tcMar>
              <w:top w:w="24" w:type="dxa"/>
              <w:left w:w="48" w:type="dxa"/>
              <w:bottom w:w="24" w:type="dxa"/>
              <w:right w:w="48" w:type="dxa"/>
            </w:tcMar>
            <w:vAlign w:val="center"/>
          </w:tcPr>
          <w:p w14:paraId="13214A74" w14:textId="77777777" w:rsidR="008F2120" w:rsidRDefault="008F2120" w:rsidP="008F2120">
            <w:pPr>
              <w:spacing w:after="0" w:line="240" w:lineRule="auto"/>
              <w:jc w:val="both"/>
              <w:rPr>
                <w:rFonts w:ascii="Times New Roman" w:eastAsiaTheme="majorEastAsia" w:hAnsi="Times New Roman" w:cs="Times New Roman"/>
                <w:b/>
                <w:iCs/>
                <w:sz w:val="20"/>
                <w:szCs w:val="20"/>
                <w:lang w:val="ro-RO"/>
              </w:rPr>
            </w:pPr>
            <w:r>
              <w:rPr>
                <w:rFonts w:ascii="Times New Roman" w:eastAsiaTheme="majorEastAsia" w:hAnsi="Times New Roman" w:cs="Times New Roman"/>
                <w:b/>
                <w:iCs/>
                <w:sz w:val="20"/>
                <w:szCs w:val="20"/>
                <w:lang w:val="ro-RO"/>
              </w:rPr>
              <w:t>Articolul 142. Lichidarea</w:t>
            </w:r>
          </w:p>
          <w:p w14:paraId="7F32100A" w14:textId="77777777" w:rsidR="008F2120" w:rsidRDefault="008F2120" w:rsidP="008F2120">
            <w:pPr>
              <w:spacing w:after="0" w:line="240" w:lineRule="auto"/>
              <w:jc w:val="both"/>
              <w:rPr>
                <w:rFonts w:ascii="Times New Roman" w:eastAsiaTheme="majorEastAsia" w:hAnsi="Times New Roman" w:cs="Times New Roman"/>
                <w:bCs/>
                <w:iCs/>
                <w:sz w:val="20"/>
                <w:szCs w:val="20"/>
                <w:lang w:val="ro-RO"/>
              </w:rPr>
            </w:pPr>
            <w:r w:rsidRPr="00067785">
              <w:rPr>
                <w:rFonts w:ascii="Times New Roman" w:eastAsiaTheme="majorEastAsia" w:hAnsi="Times New Roman" w:cs="Times New Roman"/>
                <w:bCs/>
                <w:iCs/>
                <w:sz w:val="20"/>
                <w:szCs w:val="20"/>
                <w:lang w:val="ro-RO"/>
              </w:rPr>
              <w:t>(1)</w:t>
            </w:r>
            <w:r>
              <w:rPr>
                <w:rFonts w:ascii="Times New Roman" w:eastAsiaTheme="majorEastAsia" w:hAnsi="Times New Roman" w:cs="Times New Roman"/>
                <w:bCs/>
                <w:iCs/>
                <w:sz w:val="20"/>
                <w:szCs w:val="20"/>
                <w:lang w:val="ro-RO"/>
              </w:rPr>
              <w:t xml:space="preserve"> Firma de investiții prevăzută la art.141 alin.(1) lit.a) sau operatorul de piață intră în lichidare prin:</w:t>
            </w:r>
          </w:p>
          <w:p w14:paraId="3E9E4FE9" w14:textId="77777777" w:rsidR="008F2120"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a) hotărârea adunării generale a acționarilor;</w:t>
            </w:r>
          </w:p>
          <w:p w14:paraId="5A6C7649" w14:textId="77777777" w:rsidR="008F2120"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b) hotărârea judecătorească irevocabilă;</w:t>
            </w:r>
          </w:p>
          <w:p w14:paraId="0E02A3CB" w14:textId="77777777" w:rsidR="008F2120" w:rsidRPr="00067785"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c) retragerea autorizației de firmă de investiții sau, după caz, de piață reglementată conform prevederilor prezentei legi.</w:t>
            </w:r>
          </w:p>
        </w:tc>
        <w:tc>
          <w:tcPr>
            <w:tcW w:w="599" w:type="pct"/>
            <w:tcMar>
              <w:top w:w="24" w:type="dxa"/>
              <w:left w:w="48" w:type="dxa"/>
              <w:bottom w:w="24" w:type="dxa"/>
              <w:right w:w="48" w:type="dxa"/>
            </w:tcMar>
            <w:vAlign w:val="center"/>
          </w:tcPr>
          <w:p w14:paraId="16524AFC"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„Gest-Capital” S.A</w:t>
            </w:r>
          </w:p>
          <w:p w14:paraId="6E136DC6" w14:textId="77777777" w:rsidR="008A1D50" w:rsidRDefault="008A1D50" w:rsidP="008F2120">
            <w:pPr>
              <w:spacing w:after="0" w:line="240" w:lineRule="auto"/>
              <w:rPr>
                <w:rFonts w:ascii="Times New Roman" w:hAnsi="Times New Roman" w:cs="Times New Roman"/>
                <w:b/>
                <w:bCs/>
                <w:sz w:val="20"/>
                <w:szCs w:val="20"/>
                <w:lang w:val="ro-RO"/>
              </w:rPr>
            </w:pPr>
            <w:r w:rsidRPr="008F7D09">
              <w:rPr>
                <w:rFonts w:ascii="Times New Roman" w:eastAsia="Times New Roman" w:hAnsi="Times New Roman" w:cs="Times New Roman"/>
                <w:sz w:val="20"/>
                <w:szCs w:val="20"/>
                <w:lang w:eastAsia="ro-RO"/>
              </w:rPr>
              <w:t>(scrisoare nr.137 din 8 iunie 2026)</w:t>
            </w:r>
          </w:p>
        </w:tc>
        <w:tc>
          <w:tcPr>
            <w:tcW w:w="184" w:type="pct"/>
            <w:tcMar>
              <w:top w:w="24" w:type="dxa"/>
              <w:left w:w="48" w:type="dxa"/>
              <w:bottom w:w="24" w:type="dxa"/>
              <w:right w:w="48" w:type="dxa"/>
            </w:tcMar>
            <w:vAlign w:val="center"/>
          </w:tcPr>
          <w:p w14:paraId="7A674906"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32</w:t>
            </w:r>
          </w:p>
        </w:tc>
        <w:tc>
          <w:tcPr>
            <w:tcW w:w="1747" w:type="pct"/>
            <w:tcMar>
              <w:top w:w="24" w:type="dxa"/>
              <w:left w:w="48" w:type="dxa"/>
              <w:bottom w:w="24" w:type="dxa"/>
              <w:right w:w="48" w:type="dxa"/>
            </w:tcMar>
            <w:vAlign w:val="center"/>
          </w:tcPr>
          <w:p w14:paraId="6769745F"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sidRPr="00074208">
              <w:rPr>
                <w:rFonts w:ascii="Times New Roman" w:hAnsi="Times New Roman" w:cs="Times New Roman"/>
                <w:sz w:val="20"/>
                <w:szCs w:val="20"/>
              </w:rPr>
              <w:t>În vederea respectării conceptului de dizolvare benevolă (cod civil, Legea 1134/1997 privind societățile pe acțiuni,...), care se bazează pe dreptul imperativ al proprietarilor de a înceta benevol activitatea entității sale și de a-și gestiona procesul de lichidare benevolă de sinestătător, propunem la art.142 alin.(1) de a exclude lit.a) (litere b)-c) fiind respectiv modificate în a)-b)), iar după sintagma „operator de piață” de a completa cu „prevăzut și art.141 alin.(1) lit.a)”.</w:t>
            </w:r>
          </w:p>
        </w:tc>
        <w:tc>
          <w:tcPr>
            <w:tcW w:w="1273" w:type="pct"/>
            <w:tcMar>
              <w:top w:w="24" w:type="dxa"/>
              <w:left w:w="48" w:type="dxa"/>
              <w:bottom w:w="24" w:type="dxa"/>
              <w:right w:w="48" w:type="dxa"/>
            </w:tcMar>
            <w:vAlign w:val="center"/>
          </w:tcPr>
          <w:p w14:paraId="53A250D4" w14:textId="77777777" w:rsidR="00405FC4" w:rsidRDefault="008F2120" w:rsidP="008F2120">
            <w:pPr>
              <w:spacing w:after="0" w:line="240" w:lineRule="auto"/>
              <w:jc w:val="both"/>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Nu se acceptă. </w:t>
            </w:r>
          </w:p>
          <w:p w14:paraId="1503B993" w14:textId="77777777" w:rsidR="008F2120" w:rsidRDefault="00405FC4" w:rsidP="008F2120">
            <w:pPr>
              <w:spacing w:after="0" w:line="240" w:lineRule="auto"/>
              <w:jc w:val="both"/>
              <w:rPr>
                <w:rFonts w:ascii="Times New Roman" w:eastAsia="Times New Roman" w:hAnsi="Times New Roman" w:cs="Times New Roman"/>
                <w:sz w:val="20"/>
                <w:szCs w:val="20"/>
                <w:lang w:eastAsia="ro-RO"/>
              </w:rPr>
            </w:pPr>
            <w:r w:rsidRPr="00A55A88">
              <w:rPr>
                <w:rFonts w:ascii="Times New Roman" w:eastAsia="Times New Roman" w:hAnsi="Times New Roman" w:cs="Times New Roman"/>
                <w:sz w:val="20"/>
                <w:szCs w:val="20"/>
                <w:lang w:eastAsia="ro-RO"/>
              </w:rPr>
              <w:t xml:space="preserve">Art. 142 este o normă cu specific național </w:t>
            </w:r>
            <w:r w:rsidR="00430892" w:rsidRPr="00A55A88">
              <w:rPr>
                <w:rFonts w:ascii="Times New Roman" w:eastAsia="Times New Roman" w:hAnsi="Times New Roman" w:cs="Times New Roman"/>
                <w:sz w:val="20"/>
                <w:szCs w:val="20"/>
                <w:lang w:eastAsia="ro-RO"/>
              </w:rPr>
              <w:t>cu scopul de a</w:t>
            </w:r>
            <w:r w:rsidR="00430892">
              <w:rPr>
                <w:rFonts w:ascii="Times New Roman" w:eastAsia="Times New Roman" w:hAnsi="Times New Roman" w:cs="Times New Roman"/>
                <w:sz w:val="20"/>
                <w:szCs w:val="20"/>
                <w:lang w:eastAsia="ro-RO"/>
              </w:rPr>
              <w:t xml:space="preserve"> institui un regim juridic special și complet </w:t>
            </w:r>
            <w:r w:rsidR="00430892" w:rsidRPr="00430892">
              <w:rPr>
                <w:rFonts w:ascii="Times New Roman" w:eastAsia="Times New Roman" w:hAnsi="Times New Roman" w:cs="Times New Roman"/>
                <w:sz w:val="20"/>
                <w:szCs w:val="20"/>
                <w:lang w:eastAsia="ro-RO"/>
              </w:rPr>
              <w:t>pentru lichidarea firmelor de investiții și a operatorilor de piață. Excluderea lit.a) ar genera incertitudine juridică, deoarece, în calitate de lege specială, prezentul proiect de lege reglementează exhaustiv temeiurile de lichidare, inclusiv opțiunea lichidării voluntare prin hotărârea adunării generale a acționarilor, fără a fi necesară trimiterea la normele generale ale Codului civil sau ale Legii nr.1134/1997.</w:t>
            </w:r>
          </w:p>
          <w:p w14:paraId="4AF2E6BD" w14:textId="77777777" w:rsidR="00E8043C" w:rsidRPr="00430892" w:rsidRDefault="00CB3832" w:rsidP="008F2120">
            <w:pPr>
              <w:spacing w:after="0" w:line="240" w:lineRule="auto"/>
              <w:jc w:val="both"/>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Complimentar, pentru claritate aliniatul 4 a fost completat cu sintagma „</w:t>
            </w:r>
            <w:r w:rsidRPr="00074208">
              <w:rPr>
                <w:rFonts w:ascii="Times New Roman" w:eastAsia="Times New Roman" w:hAnsi="Times New Roman" w:cs="Times New Roman"/>
                <w:sz w:val="20"/>
                <w:szCs w:val="20"/>
                <w:lang w:eastAsia="ro-RO"/>
              </w:rPr>
              <w:t>sau de hotărârea adunării generale a acționarilor.</w:t>
            </w:r>
            <w:r>
              <w:rPr>
                <w:rFonts w:ascii="Times New Roman" w:eastAsia="Times New Roman" w:hAnsi="Times New Roman" w:cs="Times New Roman"/>
                <w:sz w:val="20"/>
                <w:szCs w:val="20"/>
                <w:lang w:eastAsia="ro-RO"/>
              </w:rPr>
              <w:t xml:space="preserve">” </w:t>
            </w:r>
          </w:p>
        </w:tc>
      </w:tr>
      <w:tr w:rsidR="008F2120" w:rsidRPr="00104D47" w14:paraId="397974D8" w14:textId="77777777" w:rsidTr="000B07F2">
        <w:trPr>
          <w:jc w:val="center"/>
        </w:trPr>
        <w:tc>
          <w:tcPr>
            <w:tcW w:w="1197" w:type="pct"/>
            <w:tcMar>
              <w:top w:w="24" w:type="dxa"/>
              <w:left w:w="48" w:type="dxa"/>
              <w:bottom w:w="24" w:type="dxa"/>
              <w:right w:w="48" w:type="dxa"/>
            </w:tcMar>
            <w:vAlign w:val="center"/>
          </w:tcPr>
          <w:p w14:paraId="59FC8ADF" w14:textId="77777777" w:rsidR="008F2120" w:rsidRPr="00E8146F" w:rsidRDefault="008F2120" w:rsidP="008F2120">
            <w:pPr>
              <w:spacing w:after="0" w:line="240" w:lineRule="auto"/>
              <w:jc w:val="both"/>
              <w:rPr>
                <w:rFonts w:ascii="Times New Roman" w:eastAsiaTheme="majorEastAsia" w:hAnsi="Times New Roman" w:cs="Times New Roman"/>
                <w:b/>
                <w:iCs/>
                <w:sz w:val="20"/>
                <w:szCs w:val="20"/>
                <w:lang w:val="ro-RO"/>
              </w:rPr>
            </w:pPr>
            <w:r>
              <w:rPr>
                <w:rFonts w:ascii="Times New Roman" w:eastAsiaTheme="majorEastAsia" w:hAnsi="Times New Roman" w:cs="Times New Roman"/>
                <w:b/>
                <w:iCs/>
                <w:sz w:val="20"/>
                <w:szCs w:val="20"/>
                <w:lang w:val="ro-RO"/>
              </w:rPr>
              <w:t>Articolul 148. Constatarea încălcărilor şi emiterea deciziilor</w:t>
            </w:r>
          </w:p>
          <w:p w14:paraId="48687A42" w14:textId="77777777" w:rsidR="008F2120" w:rsidRPr="00E8146F" w:rsidRDefault="008F2120" w:rsidP="008F2120">
            <w:pPr>
              <w:spacing w:after="0" w:line="240" w:lineRule="auto"/>
              <w:jc w:val="both"/>
              <w:rPr>
                <w:rFonts w:ascii="Times New Roman" w:eastAsiaTheme="majorEastAsia" w:hAnsi="Times New Roman" w:cs="Times New Roman"/>
                <w:bCs/>
                <w:iCs/>
                <w:sz w:val="20"/>
                <w:szCs w:val="20"/>
                <w:lang w:val="ro-RO"/>
              </w:rPr>
            </w:pPr>
            <w:r>
              <w:rPr>
                <w:rFonts w:ascii="Times New Roman" w:eastAsiaTheme="majorEastAsia" w:hAnsi="Times New Roman" w:cs="Times New Roman"/>
                <w:bCs/>
                <w:iCs/>
                <w:sz w:val="20"/>
                <w:szCs w:val="20"/>
                <w:lang w:val="ro-RO"/>
              </w:rPr>
              <w:t>(11) BNM, în calitate de autoritate competentă în temeiul art. 128 alin. (6):</w:t>
            </w:r>
          </w:p>
          <w:p w14:paraId="6B27095F" w14:textId="77777777" w:rsidR="008F2120" w:rsidRPr="00C9452A" w:rsidRDefault="008F2120" w:rsidP="008F2120">
            <w:pPr>
              <w:pStyle w:val="Titlu"/>
              <w:rPr>
                <w:rFonts w:cs="Times New Roman"/>
                <w:b w:val="0"/>
                <w:sz w:val="20"/>
                <w:szCs w:val="20"/>
                <w:lang w:val="ro-RO"/>
              </w:rPr>
            </w:pPr>
            <w:r w:rsidRPr="00C9452A">
              <w:rPr>
                <w:rFonts w:cs="Times New Roman"/>
                <w:b w:val="0"/>
                <w:iCs w:val="0"/>
                <w:sz w:val="20"/>
                <w:szCs w:val="20"/>
                <w:lang w:val="ro-RO"/>
              </w:rPr>
              <w:lastRenderedPageBreak/>
              <w:t>[…] b) aplică măsurile de supraveghere, sancțiunile și măsurile sancționatoare prevăzute de prezenta lege în conformitate cu procedura stabilită prin Legea nr.548/1995 cu privire la Banca Națională a Moldovei și actele normative ale BNM.</w:t>
            </w:r>
          </w:p>
        </w:tc>
        <w:tc>
          <w:tcPr>
            <w:tcW w:w="599" w:type="pct"/>
            <w:tcMar>
              <w:top w:w="24" w:type="dxa"/>
              <w:left w:w="48" w:type="dxa"/>
              <w:bottom w:w="24" w:type="dxa"/>
              <w:right w:w="48" w:type="dxa"/>
            </w:tcMar>
            <w:vAlign w:val="center"/>
          </w:tcPr>
          <w:p w14:paraId="539F61B8"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lastRenderedPageBreak/>
              <w:t>BNM</w:t>
            </w:r>
          </w:p>
          <w:p w14:paraId="2474B260" w14:textId="77777777" w:rsidR="008A1D50" w:rsidRPr="0003123E"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2BEBE13F" w14:textId="77777777" w:rsidR="008A1D50"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132CF599" w14:textId="77777777" w:rsidR="00577530" w:rsidRPr="00724452" w:rsidRDefault="00577530"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3ED69B8A"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33</w:t>
            </w:r>
          </w:p>
        </w:tc>
        <w:tc>
          <w:tcPr>
            <w:tcW w:w="1747" w:type="pct"/>
            <w:tcMar>
              <w:top w:w="24" w:type="dxa"/>
              <w:left w:w="48" w:type="dxa"/>
              <w:bottom w:w="24" w:type="dxa"/>
              <w:right w:w="48" w:type="dxa"/>
            </w:tcMar>
            <w:vAlign w:val="center"/>
          </w:tcPr>
          <w:p w14:paraId="4A19D65F"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La art. 148 alin. (11) lit. b) din proiect, se propune completarea după cuvintele „măsurile de supraveghere” cu cuvintele „și intervenție”.</w:t>
            </w:r>
          </w:p>
        </w:tc>
        <w:tc>
          <w:tcPr>
            <w:tcW w:w="1273" w:type="pct"/>
            <w:tcMar>
              <w:top w:w="24" w:type="dxa"/>
              <w:left w:w="48" w:type="dxa"/>
              <w:bottom w:w="24" w:type="dxa"/>
              <w:right w:w="48" w:type="dxa"/>
            </w:tcMar>
            <w:vAlign w:val="center"/>
          </w:tcPr>
          <w:p w14:paraId="5C41E129" w14:textId="751C59B9" w:rsidR="008F2120" w:rsidRPr="003A6C26" w:rsidRDefault="009E31EF"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Nu s</w:t>
            </w:r>
            <w:r w:rsidR="008F2120">
              <w:rPr>
                <w:rFonts w:ascii="Times New Roman" w:eastAsia="Times New Roman" w:hAnsi="Times New Roman" w:cs="Times New Roman"/>
                <w:b/>
                <w:sz w:val="20"/>
                <w:szCs w:val="20"/>
                <w:lang w:val="ro-RO" w:eastAsia="ro-RO"/>
              </w:rPr>
              <w:t xml:space="preserve">e acceptă </w:t>
            </w:r>
          </w:p>
          <w:p w14:paraId="6667DC40" w14:textId="5BAB1527" w:rsidR="008F2120" w:rsidRDefault="009E31EF" w:rsidP="000A6E85">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sz w:val="20"/>
                <w:szCs w:val="20"/>
                <w:lang w:eastAsia="ro-RO"/>
              </w:rPr>
              <w:t>Deoarece a fost revizuită denumirea art</w:t>
            </w:r>
            <w:r w:rsidR="000A6E85">
              <w:rPr>
                <w:rFonts w:ascii="Times New Roman" w:eastAsia="Times New Roman" w:hAnsi="Times New Roman" w:cs="Times New Roman"/>
                <w:sz w:val="20"/>
                <w:szCs w:val="20"/>
                <w:lang w:eastAsia="ro-RO"/>
              </w:rPr>
              <w:t>.</w:t>
            </w:r>
            <w:r>
              <w:rPr>
                <w:rFonts w:ascii="Times New Roman" w:eastAsia="Times New Roman" w:hAnsi="Times New Roman" w:cs="Times New Roman"/>
                <w:sz w:val="20"/>
                <w:szCs w:val="20"/>
                <w:lang w:eastAsia="ro-RO"/>
              </w:rPr>
              <w:t xml:space="preserve"> 144 prin excluderea</w:t>
            </w:r>
            <w:r w:rsidR="000A6E85">
              <w:rPr>
                <w:rFonts w:ascii="Times New Roman" w:eastAsia="Times New Roman" w:hAnsi="Times New Roman" w:cs="Times New Roman"/>
                <w:sz w:val="20"/>
                <w:szCs w:val="20"/>
                <w:lang w:eastAsia="ro-RO"/>
              </w:rPr>
              <w:t xml:space="preserve"> textului „și intervenții” au fost ofomizate corespunzător toate referințele pe tot </w:t>
            </w:r>
            <w:r w:rsidR="000A6E85">
              <w:rPr>
                <w:rFonts w:ascii="Times New Roman" w:eastAsia="Times New Roman" w:hAnsi="Times New Roman" w:cs="Times New Roman"/>
                <w:sz w:val="20"/>
                <w:szCs w:val="20"/>
                <w:lang w:eastAsia="ro-RO"/>
              </w:rPr>
              <w:lastRenderedPageBreak/>
              <w:t xml:space="preserve">parcursul textului, respectiv nefiind necesară aplicarea modificărilor la arti.148 ali.(11) lit.b). </w:t>
            </w:r>
          </w:p>
        </w:tc>
      </w:tr>
      <w:tr w:rsidR="008F2120" w:rsidRPr="00104D47" w14:paraId="5C3816AE" w14:textId="77777777" w:rsidTr="000B07F2">
        <w:trPr>
          <w:jc w:val="center"/>
        </w:trPr>
        <w:tc>
          <w:tcPr>
            <w:tcW w:w="1197" w:type="pct"/>
            <w:tcMar>
              <w:top w:w="24" w:type="dxa"/>
              <w:left w:w="48" w:type="dxa"/>
              <w:bottom w:w="24" w:type="dxa"/>
              <w:right w:w="48" w:type="dxa"/>
            </w:tcMar>
            <w:vAlign w:val="center"/>
          </w:tcPr>
          <w:p w14:paraId="03844409" w14:textId="77777777" w:rsidR="008F2120" w:rsidRPr="005D5639" w:rsidRDefault="008F2120" w:rsidP="008F2120">
            <w:pPr>
              <w:spacing w:after="0" w:line="240" w:lineRule="auto"/>
              <w:rPr>
                <w:rFonts w:ascii="Times New Roman" w:eastAsia="Times New Roman" w:hAnsi="Times New Roman" w:cs="Times New Roman"/>
                <w:b/>
                <w:iCs/>
                <w:sz w:val="20"/>
                <w:szCs w:val="20"/>
                <w:lang w:val="ro-RO" w:eastAsia="ro-RO"/>
              </w:rPr>
            </w:pPr>
            <w:r w:rsidRPr="005D5639">
              <w:rPr>
                <w:rFonts w:ascii="Times New Roman" w:eastAsiaTheme="majorEastAsia" w:hAnsi="Times New Roman" w:cs="Times New Roman"/>
                <w:b/>
                <w:iCs/>
                <w:sz w:val="20"/>
                <w:szCs w:val="20"/>
                <w:lang w:val="ro-RO"/>
              </w:rPr>
              <w:lastRenderedPageBreak/>
              <w:t>Articolul 156. Secretul profesional al CNPF</w:t>
            </w:r>
          </w:p>
        </w:tc>
        <w:tc>
          <w:tcPr>
            <w:tcW w:w="599" w:type="pct"/>
            <w:tcMar>
              <w:top w:w="24" w:type="dxa"/>
              <w:left w:w="48" w:type="dxa"/>
              <w:bottom w:w="24" w:type="dxa"/>
              <w:right w:w="48" w:type="dxa"/>
            </w:tcMar>
            <w:vAlign w:val="center"/>
          </w:tcPr>
          <w:p w14:paraId="0432BE47"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BNM</w:t>
            </w:r>
          </w:p>
          <w:p w14:paraId="29BA5554" w14:textId="77777777" w:rsidR="008A1D50" w:rsidRPr="0003123E"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6C683F72" w14:textId="77777777" w:rsidR="008A1D50"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7656E0A3" w14:textId="77777777" w:rsidR="00577530" w:rsidRPr="00724452" w:rsidRDefault="00577530" w:rsidP="008F2120">
            <w:pPr>
              <w:spacing w:after="0" w:line="240" w:lineRule="auto"/>
              <w:rPr>
                <w:rFonts w:ascii="Times New Roman" w:hAnsi="Times New Roman" w:cs="Times New Roman"/>
                <w:b/>
                <w:bCs/>
                <w:sz w:val="20"/>
                <w:szCs w:val="20"/>
                <w:lang w:val="ro-RO"/>
              </w:rPr>
            </w:pPr>
          </w:p>
        </w:tc>
        <w:tc>
          <w:tcPr>
            <w:tcW w:w="184" w:type="pct"/>
            <w:tcMar>
              <w:top w:w="24" w:type="dxa"/>
              <w:left w:w="48" w:type="dxa"/>
              <w:bottom w:w="24" w:type="dxa"/>
              <w:right w:w="48" w:type="dxa"/>
            </w:tcMar>
            <w:vAlign w:val="center"/>
          </w:tcPr>
          <w:p w14:paraId="7DF4C087"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34</w:t>
            </w:r>
          </w:p>
        </w:tc>
        <w:tc>
          <w:tcPr>
            <w:tcW w:w="1747" w:type="pct"/>
            <w:tcMar>
              <w:top w:w="24" w:type="dxa"/>
              <w:left w:w="48" w:type="dxa"/>
              <w:bottom w:w="24" w:type="dxa"/>
              <w:right w:w="48" w:type="dxa"/>
            </w:tcMar>
            <w:vAlign w:val="center"/>
          </w:tcPr>
          <w:p w14:paraId="318AE9DD"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La art. 156 din proiect, se propune examinarea posibilității de completare cu prevederi aferente condițiilor suplimentare de furnizare a informației ce constituie secret profesional, similar celor stabilite în Legea nr. 202/2017 privind activitatea băncilor.</w:t>
            </w:r>
          </w:p>
        </w:tc>
        <w:tc>
          <w:tcPr>
            <w:tcW w:w="1273" w:type="pct"/>
            <w:tcMar>
              <w:top w:w="24" w:type="dxa"/>
              <w:left w:w="48" w:type="dxa"/>
              <w:bottom w:w="24" w:type="dxa"/>
              <w:right w:w="48" w:type="dxa"/>
            </w:tcMar>
            <w:vAlign w:val="center"/>
          </w:tcPr>
          <w:p w14:paraId="393A8FA3" w14:textId="77777777" w:rsidR="008F2120" w:rsidRPr="00DD6608" w:rsidRDefault="008F2120" w:rsidP="008F2120">
            <w:pPr>
              <w:spacing w:after="0" w:line="240" w:lineRule="auto"/>
              <w:jc w:val="both"/>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Se acceptă.</w:t>
            </w:r>
          </w:p>
          <w:p w14:paraId="16A53D94" w14:textId="77777777" w:rsidR="008F2120" w:rsidRDefault="008F2120" w:rsidP="008F2120">
            <w:pPr>
              <w:spacing w:after="0" w:line="240" w:lineRule="auto"/>
              <w:jc w:val="both"/>
              <w:rPr>
                <w:rFonts w:ascii="Times New Roman" w:hAnsi="Times New Roman" w:cs="Times New Roman"/>
                <w:b/>
                <w:bCs/>
                <w:sz w:val="20"/>
                <w:szCs w:val="20"/>
              </w:rPr>
            </w:pPr>
            <w:r w:rsidRPr="002C6F18">
              <w:rPr>
                <w:rFonts w:ascii="Times New Roman" w:eastAsia="Times New Roman" w:hAnsi="Times New Roman" w:cs="Times New Roman"/>
                <w:sz w:val="20"/>
                <w:szCs w:val="20"/>
                <w:lang w:eastAsia="ro-RO"/>
              </w:rPr>
              <w:t>Art. 156 din proiect a fost revizuit, fiind operate modificări la alin.(2), (4), (6) și (7) și completat cu alin.(10), pentru asigurarea unei mai bune clarități a normei.</w:t>
            </w:r>
          </w:p>
        </w:tc>
      </w:tr>
      <w:tr w:rsidR="008F2120" w:rsidRPr="00104D47" w14:paraId="0A2C3B0D" w14:textId="77777777" w:rsidTr="00067785">
        <w:trPr>
          <w:jc w:val="center"/>
        </w:trPr>
        <w:tc>
          <w:tcPr>
            <w:tcW w:w="1197" w:type="pct"/>
            <w:vMerge w:val="restart"/>
            <w:tcMar>
              <w:top w:w="24" w:type="dxa"/>
              <w:left w:w="48" w:type="dxa"/>
              <w:bottom w:w="24" w:type="dxa"/>
              <w:right w:w="48" w:type="dxa"/>
            </w:tcMar>
            <w:vAlign w:val="center"/>
          </w:tcPr>
          <w:p w14:paraId="6ECAE8BA" w14:textId="77777777" w:rsidR="008F2120" w:rsidRPr="001B51D8" w:rsidRDefault="008F2120" w:rsidP="008F2120">
            <w:pPr>
              <w:spacing w:after="0" w:line="240" w:lineRule="auto"/>
              <w:rPr>
                <w:rFonts w:ascii="Times New Roman" w:eastAsia="Times New Roman" w:hAnsi="Times New Roman" w:cs="Times New Roman"/>
                <w:b/>
                <w:iCs/>
                <w:sz w:val="20"/>
                <w:szCs w:val="20"/>
                <w:lang w:val="ro-RO" w:eastAsia="ro-RO"/>
              </w:rPr>
            </w:pPr>
            <w:r w:rsidRPr="001B51D8">
              <w:rPr>
                <w:rFonts w:ascii="Times New Roman" w:eastAsia="Times New Roman" w:hAnsi="Times New Roman" w:cs="Times New Roman"/>
                <w:b/>
                <w:iCs/>
                <w:sz w:val="20"/>
                <w:szCs w:val="20"/>
                <w:lang w:val="ro-RO" w:eastAsia="ro-RO"/>
              </w:rPr>
              <w:t>Articolul 168. Dispoziții finale</w:t>
            </w:r>
          </w:p>
          <w:p w14:paraId="794F0767" w14:textId="77777777" w:rsidR="008F2120" w:rsidRPr="00603FF0" w:rsidRDefault="008F2120" w:rsidP="008F2120">
            <w:pPr>
              <w:spacing w:after="0" w:line="240" w:lineRule="auto"/>
              <w:rPr>
                <w:rFonts w:ascii="Times New Roman" w:eastAsia="Times New Roman" w:hAnsi="Times New Roman" w:cs="Times New Roman"/>
                <w:bCs/>
                <w:iCs/>
                <w:sz w:val="20"/>
                <w:szCs w:val="20"/>
                <w:highlight w:val="yellow"/>
                <w:lang w:val="ro-RO" w:eastAsia="ro-RO"/>
              </w:rPr>
            </w:pPr>
            <w:r w:rsidRPr="001B51D8">
              <w:rPr>
                <w:rFonts w:ascii="Times New Roman" w:eastAsia="Times New Roman" w:hAnsi="Times New Roman" w:cs="Times New Roman"/>
                <w:bCs/>
                <w:iCs/>
                <w:sz w:val="20"/>
                <w:szCs w:val="20"/>
                <w:lang w:val="ro-RO" w:eastAsia="ro-RO"/>
              </w:rPr>
              <w:t>(1) Prezenta lege intră în vigoare la data de 1 iunie 2027, cu excepţia dispozițiilor prevăzute la alin.(4).</w:t>
            </w:r>
          </w:p>
        </w:tc>
        <w:tc>
          <w:tcPr>
            <w:tcW w:w="599" w:type="pct"/>
            <w:tcMar>
              <w:top w:w="24" w:type="dxa"/>
              <w:left w:w="48" w:type="dxa"/>
              <w:bottom w:w="24" w:type="dxa"/>
              <w:right w:w="48" w:type="dxa"/>
            </w:tcMar>
            <w:vAlign w:val="center"/>
          </w:tcPr>
          <w:p w14:paraId="67DBE08B"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Energbank</w:t>
            </w:r>
          </w:p>
          <w:p w14:paraId="79422483" w14:textId="77777777" w:rsidR="008A1D50" w:rsidRPr="00724452"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nr.08/04/617 din 15.05.2026)</w:t>
            </w:r>
          </w:p>
        </w:tc>
        <w:tc>
          <w:tcPr>
            <w:tcW w:w="184" w:type="pct"/>
            <w:tcMar>
              <w:top w:w="24" w:type="dxa"/>
              <w:left w:w="48" w:type="dxa"/>
              <w:bottom w:w="24" w:type="dxa"/>
              <w:right w:w="48" w:type="dxa"/>
            </w:tcMar>
            <w:vAlign w:val="center"/>
          </w:tcPr>
          <w:p w14:paraId="797FA4A1"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35</w:t>
            </w:r>
          </w:p>
        </w:tc>
        <w:tc>
          <w:tcPr>
            <w:tcW w:w="1747" w:type="pct"/>
            <w:tcMar>
              <w:top w:w="24" w:type="dxa"/>
              <w:left w:w="48" w:type="dxa"/>
              <w:bottom w:w="24" w:type="dxa"/>
              <w:right w:w="48" w:type="dxa"/>
            </w:tcMar>
            <w:vAlign w:val="center"/>
          </w:tcPr>
          <w:p w14:paraId="30DBBC2F"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bCs/>
                <w:sz w:val="20"/>
                <w:szCs w:val="20"/>
              </w:rPr>
            </w:pPr>
            <w:r>
              <w:rPr>
                <w:rFonts w:ascii="Times New Roman" w:hAnsi="Times New Roman" w:cs="Times New Roman"/>
                <w:bCs/>
                <w:sz w:val="20"/>
                <w:szCs w:val="20"/>
              </w:rPr>
              <w:t>Articolul 168 alin.(1) – intrarea în vigoare a legii la 1 iunie 2027: Se propune stabilirea termenului de intrare în vigoare la 18 luni de la data publicării. Având în vedere complexitatea cadrului nou de reglementare, implementarea va necesita ajustarea politicilor interne, proceselor operaționale, sistemelor IT, documentației contractuale, precum și instruirea personalului și emiterea actelor normative secundare.</w:t>
            </w:r>
          </w:p>
        </w:tc>
        <w:tc>
          <w:tcPr>
            <w:tcW w:w="1273" w:type="pct"/>
            <w:vMerge w:val="restart"/>
            <w:tcMar>
              <w:top w:w="24" w:type="dxa"/>
              <w:left w:w="48" w:type="dxa"/>
              <w:bottom w:w="24" w:type="dxa"/>
              <w:right w:w="48" w:type="dxa"/>
            </w:tcMar>
            <w:vAlign w:val="center"/>
          </w:tcPr>
          <w:p w14:paraId="78CF2F1D" w14:textId="5A10E11A" w:rsidR="008F2120" w:rsidRDefault="00BE1068" w:rsidP="008F2120">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w:t>
            </w:r>
            <w:r w:rsidR="008F2120">
              <w:rPr>
                <w:rFonts w:ascii="Times New Roman" w:hAnsi="Times New Roman" w:cs="Times New Roman"/>
                <w:b/>
                <w:sz w:val="20"/>
                <w:szCs w:val="20"/>
                <w:lang w:val="ro-RO" w:eastAsia="ro-RO"/>
              </w:rPr>
              <w:t>e acceptă</w:t>
            </w:r>
            <w:r>
              <w:rPr>
                <w:rFonts w:ascii="Times New Roman" w:hAnsi="Times New Roman" w:cs="Times New Roman"/>
                <w:b/>
                <w:sz w:val="20"/>
                <w:szCs w:val="20"/>
                <w:lang w:val="ro-RO" w:eastAsia="ro-RO"/>
              </w:rPr>
              <w:t xml:space="preserve"> parțial</w:t>
            </w:r>
            <w:r w:rsidR="008F2120">
              <w:rPr>
                <w:rFonts w:ascii="Times New Roman" w:hAnsi="Times New Roman" w:cs="Times New Roman"/>
                <w:b/>
                <w:sz w:val="20"/>
                <w:szCs w:val="20"/>
                <w:lang w:val="ro-RO" w:eastAsia="ro-RO"/>
              </w:rPr>
              <w:t xml:space="preserve">. </w:t>
            </w:r>
          </w:p>
          <w:p w14:paraId="0D0A7DB7" w14:textId="77777777" w:rsidR="00BE1068" w:rsidRPr="00BE1068" w:rsidRDefault="00BE1068" w:rsidP="00BE1068">
            <w:pPr>
              <w:spacing w:after="0" w:line="240" w:lineRule="auto"/>
              <w:jc w:val="both"/>
              <w:rPr>
                <w:rFonts w:ascii="Times New Roman" w:hAnsi="Times New Roman" w:cs="Times New Roman"/>
                <w:sz w:val="20"/>
                <w:szCs w:val="20"/>
                <w:lang w:val="ro-RO" w:eastAsia="ro-RO"/>
              </w:rPr>
            </w:pPr>
            <w:r w:rsidRPr="00BE1068">
              <w:rPr>
                <w:rFonts w:ascii="Times New Roman" w:hAnsi="Times New Roman" w:cs="Times New Roman"/>
                <w:sz w:val="20"/>
                <w:szCs w:val="20"/>
                <w:lang w:val="ro-RO" w:eastAsia="ro-RO"/>
              </w:rPr>
              <w:t>Termenul de intrare în vigoare a fost revăzut.</w:t>
            </w:r>
          </w:p>
          <w:p w14:paraId="619AC95F" w14:textId="77777777" w:rsidR="0072782B" w:rsidRDefault="0072782B" w:rsidP="00525612">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sz w:val="20"/>
                <w:szCs w:val="20"/>
                <w:lang w:val="ro-RO" w:eastAsia="ro-RO"/>
              </w:rPr>
              <w:t xml:space="preserve">Termenul de intrare în vigoare a legii coraborat cu termenul tranzitoriu stabilit la art.169 alin.(5) </w:t>
            </w:r>
            <w:r w:rsidR="00525612">
              <w:rPr>
                <w:rFonts w:ascii="Times New Roman" w:hAnsi="Times New Roman" w:cs="Times New Roman"/>
                <w:sz w:val="20"/>
                <w:szCs w:val="20"/>
                <w:lang w:val="ro-RO" w:eastAsia="ro-RO"/>
              </w:rPr>
              <w:t xml:space="preserve">aplicabil pînă la data de </w:t>
            </w:r>
            <w:r>
              <w:rPr>
                <w:rFonts w:ascii="Times New Roman" w:hAnsi="Times New Roman" w:cs="Times New Roman"/>
                <w:sz w:val="20"/>
                <w:szCs w:val="20"/>
                <w:lang w:val="ro-RO" w:eastAsia="ro-RO"/>
              </w:rPr>
              <w:t xml:space="preserve">31.12.2027, </w:t>
            </w:r>
            <w:r w:rsidR="00AC7162">
              <w:rPr>
                <w:rFonts w:ascii="Times New Roman" w:hAnsi="Times New Roman" w:cs="Times New Roman"/>
                <w:sz w:val="20"/>
                <w:szCs w:val="20"/>
                <w:lang w:val="ro-RO" w:eastAsia="ro-RO"/>
              </w:rPr>
              <w:t xml:space="preserve">asigură </w:t>
            </w:r>
            <w:r w:rsidR="00525612" w:rsidRPr="00BA7226">
              <w:rPr>
                <w:rFonts w:ascii="Times New Roman" w:hAnsi="Times New Roman" w:cs="Times New Roman"/>
                <w:sz w:val="20"/>
                <w:szCs w:val="20"/>
                <w:lang w:val="ro-RO" w:eastAsia="ro-RO"/>
              </w:rPr>
              <w:t>entităților care desfășoară deja activități ce intră sub incidența noului regim juridic un interval suficient pentru adaptarea activității și conformarea la cerințele prezentei legi. În consecință, perioada efectivă disponibilă pentru pregătirea și implementarea măsurilor necesare conformării este extinsă la cel puțin 16 luni de la data publicării legii.</w:t>
            </w:r>
          </w:p>
        </w:tc>
      </w:tr>
      <w:tr w:rsidR="008F2120" w:rsidRPr="00104D47" w14:paraId="69E5EC42" w14:textId="77777777" w:rsidTr="000B07F2">
        <w:trPr>
          <w:jc w:val="center"/>
        </w:trPr>
        <w:tc>
          <w:tcPr>
            <w:tcW w:w="1197" w:type="pct"/>
            <w:vMerge/>
            <w:tcMar>
              <w:top w:w="24" w:type="dxa"/>
              <w:left w:w="48" w:type="dxa"/>
              <w:bottom w:w="24" w:type="dxa"/>
              <w:right w:w="48" w:type="dxa"/>
            </w:tcMar>
            <w:vAlign w:val="center"/>
          </w:tcPr>
          <w:p w14:paraId="5DE206A9" w14:textId="77777777" w:rsidR="008F2120" w:rsidRPr="00C71263" w:rsidRDefault="008F2120" w:rsidP="008F2120">
            <w:pPr>
              <w:spacing w:after="0" w:line="240" w:lineRule="auto"/>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4326704A" w14:textId="77777777" w:rsidR="008F2120" w:rsidRDefault="008F2120" w:rsidP="008F2120">
            <w:pPr>
              <w:spacing w:after="0" w:line="240" w:lineRule="auto"/>
              <w:rPr>
                <w:rFonts w:ascii="Times New Roman" w:hAnsi="Times New Roman" w:cs="Times New Roman"/>
                <w:b/>
                <w:bCs/>
                <w:sz w:val="20"/>
                <w:szCs w:val="20"/>
                <w:lang w:val="ro-RO"/>
              </w:rPr>
            </w:pPr>
            <w:r>
              <w:rPr>
                <w:rFonts w:ascii="Times New Roman" w:hAnsi="Times New Roman" w:cs="Times New Roman"/>
                <w:b/>
                <w:bCs/>
                <w:sz w:val="20"/>
                <w:szCs w:val="20"/>
                <w:lang w:val="ro-RO"/>
              </w:rPr>
              <w:t>ABM</w:t>
            </w:r>
          </w:p>
          <w:p w14:paraId="34AE9A21" w14:textId="77777777" w:rsidR="008A1D50" w:rsidRPr="00724452" w:rsidRDefault="008A1D50" w:rsidP="008F2120">
            <w:pPr>
              <w:spacing w:after="0" w:line="240" w:lineRule="auto"/>
              <w:rPr>
                <w:rFonts w:ascii="Times New Roman" w:hAnsi="Times New Roman" w:cs="Times New Roman"/>
                <w:b/>
                <w:bCs/>
                <w:sz w:val="20"/>
                <w:szCs w:val="20"/>
                <w:lang w:val="ro-RO"/>
              </w:rPr>
            </w:pP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295BB643"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36</w:t>
            </w:r>
          </w:p>
        </w:tc>
        <w:tc>
          <w:tcPr>
            <w:tcW w:w="1747" w:type="pct"/>
            <w:tcMar>
              <w:top w:w="24" w:type="dxa"/>
              <w:left w:w="48" w:type="dxa"/>
              <w:bottom w:w="24" w:type="dxa"/>
              <w:right w:w="48" w:type="dxa"/>
            </w:tcMar>
            <w:vAlign w:val="center"/>
          </w:tcPr>
          <w:p w14:paraId="3E6BECC0"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bCs/>
                <w:sz w:val="20"/>
                <w:szCs w:val="20"/>
              </w:rPr>
              <w:t>În ceea ce privește articolul 168 alin. (1), referitor la intrarea în vigoare a legii la data de 1 iunie 2027, propunem stabilirea termenului de intrare în vigoare la 18 luni de la data publicării legii. Această propunere este justificată de complexitatea noului cadru de reglementare, a cărui implementare va necesita ajustarea politicilor interne, a proceselor operaționale, a sistemelor IT, a documentației contractuale, precum și instruirea personalului. De asemenea, este necesar timp suficient pentru elaborarea și emiterea actelor normative secundare indispensabile aplicării efective a legii.</w:t>
            </w:r>
          </w:p>
        </w:tc>
        <w:tc>
          <w:tcPr>
            <w:tcW w:w="1273" w:type="pct"/>
            <w:vMerge/>
            <w:tcMar>
              <w:top w:w="24" w:type="dxa"/>
              <w:left w:w="48" w:type="dxa"/>
              <w:bottom w:w="24" w:type="dxa"/>
              <w:right w:w="48" w:type="dxa"/>
            </w:tcMar>
            <w:vAlign w:val="center"/>
          </w:tcPr>
          <w:p w14:paraId="4D66555F" w14:textId="77777777" w:rsidR="008F2120" w:rsidRDefault="008F2120" w:rsidP="008F2120">
            <w:pPr>
              <w:spacing w:after="0" w:line="240" w:lineRule="auto"/>
              <w:jc w:val="both"/>
              <w:rPr>
                <w:rFonts w:ascii="Times New Roman" w:hAnsi="Times New Roman" w:cs="Times New Roman"/>
                <w:b/>
                <w:bCs/>
                <w:sz w:val="20"/>
                <w:szCs w:val="20"/>
              </w:rPr>
            </w:pPr>
          </w:p>
        </w:tc>
      </w:tr>
      <w:tr w:rsidR="008F2120" w:rsidRPr="00104D47" w14:paraId="3312452C" w14:textId="77777777" w:rsidTr="000B07F2">
        <w:trPr>
          <w:jc w:val="center"/>
        </w:trPr>
        <w:tc>
          <w:tcPr>
            <w:tcW w:w="1197" w:type="pct"/>
            <w:vMerge/>
            <w:tcMar>
              <w:top w:w="24" w:type="dxa"/>
              <w:left w:w="48" w:type="dxa"/>
              <w:bottom w:w="24" w:type="dxa"/>
              <w:right w:w="48" w:type="dxa"/>
            </w:tcMar>
            <w:vAlign w:val="center"/>
          </w:tcPr>
          <w:p w14:paraId="34A59C82" w14:textId="77777777" w:rsidR="008F2120" w:rsidRPr="00C71263" w:rsidRDefault="008F2120" w:rsidP="008F2120">
            <w:pPr>
              <w:spacing w:after="0" w:line="240" w:lineRule="auto"/>
              <w:rPr>
                <w:rFonts w:ascii="Times New Roman" w:eastAsia="Times New Roman" w:hAnsi="Times New Roman" w:cs="Times New Roman"/>
                <w:b/>
                <w:iCs/>
                <w:sz w:val="20"/>
                <w:szCs w:val="20"/>
                <w:lang w:val="ro-RO" w:eastAsia="ro-RO"/>
              </w:rPr>
            </w:pPr>
          </w:p>
        </w:tc>
        <w:tc>
          <w:tcPr>
            <w:tcW w:w="599" w:type="pct"/>
            <w:tcMar>
              <w:top w:w="24" w:type="dxa"/>
              <w:left w:w="48" w:type="dxa"/>
              <w:bottom w:w="24" w:type="dxa"/>
              <w:right w:w="48" w:type="dxa"/>
            </w:tcMar>
            <w:vAlign w:val="center"/>
          </w:tcPr>
          <w:p w14:paraId="5071FCB8"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„Gest-Capital” S.A</w:t>
            </w:r>
          </w:p>
          <w:p w14:paraId="3FF90259" w14:textId="77777777" w:rsidR="008A1D50" w:rsidRDefault="008A1D50" w:rsidP="008F2120">
            <w:pPr>
              <w:spacing w:after="0" w:line="240" w:lineRule="auto"/>
              <w:rPr>
                <w:rFonts w:ascii="Times New Roman" w:hAnsi="Times New Roman" w:cs="Times New Roman"/>
                <w:b/>
                <w:bCs/>
                <w:sz w:val="20"/>
                <w:szCs w:val="20"/>
                <w:lang w:val="ro-RO"/>
              </w:rPr>
            </w:pPr>
            <w:r w:rsidRPr="008F7D09">
              <w:rPr>
                <w:rFonts w:ascii="Times New Roman" w:eastAsia="Times New Roman" w:hAnsi="Times New Roman" w:cs="Times New Roman"/>
                <w:sz w:val="20"/>
                <w:szCs w:val="20"/>
                <w:lang w:eastAsia="ro-RO"/>
              </w:rPr>
              <w:t>(scrisoare nr.137 din 8 iunie 2026)</w:t>
            </w:r>
          </w:p>
        </w:tc>
        <w:tc>
          <w:tcPr>
            <w:tcW w:w="184" w:type="pct"/>
            <w:tcMar>
              <w:top w:w="24" w:type="dxa"/>
              <w:left w:w="48" w:type="dxa"/>
              <w:bottom w:w="24" w:type="dxa"/>
              <w:right w:w="48" w:type="dxa"/>
            </w:tcMar>
            <w:vAlign w:val="center"/>
          </w:tcPr>
          <w:p w14:paraId="4EDBF290"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37</w:t>
            </w:r>
          </w:p>
        </w:tc>
        <w:tc>
          <w:tcPr>
            <w:tcW w:w="1747" w:type="pct"/>
            <w:tcMar>
              <w:top w:w="24" w:type="dxa"/>
              <w:left w:w="48" w:type="dxa"/>
              <w:bottom w:w="24" w:type="dxa"/>
              <w:right w:w="48" w:type="dxa"/>
            </w:tcMar>
            <w:vAlign w:val="center"/>
          </w:tcPr>
          <w:p w14:paraId="66F55D2B" w14:textId="77777777" w:rsidR="008F2120" w:rsidRPr="004D0455" w:rsidRDefault="008F2120" w:rsidP="008F2120">
            <w:pPr>
              <w:autoSpaceDE w:val="0"/>
              <w:autoSpaceDN w:val="0"/>
              <w:adjustRightInd w:val="0"/>
              <w:spacing w:after="0" w:line="240" w:lineRule="auto"/>
              <w:ind w:right="98"/>
              <w:jc w:val="both"/>
              <w:rPr>
                <w:rFonts w:ascii="Times New Roman" w:hAnsi="Times New Roman" w:cs="Times New Roman"/>
                <w:bCs/>
                <w:sz w:val="20"/>
                <w:szCs w:val="20"/>
              </w:rPr>
            </w:pPr>
            <w:r w:rsidRPr="004D0455">
              <w:rPr>
                <w:rFonts w:ascii="Times New Roman" w:hAnsi="Times New Roman" w:cs="Times New Roman"/>
                <w:sz w:val="20"/>
                <w:szCs w:val="20"/>
              </w:rPr>
              <w:t xml:space="preserve">La final, cu toate că de mai multe ori am adresat această solicitare – reiterăm, ținând cont de realitățile pieței de capital din Republica Moldova, având în vedere complexitatea și noutatea cadrului normativ propus prin alinierea la acquis-ul european, propunem stabilirea unui termen de intrare în vigoare prietenos actualilor participanți profesioniști la piața de capital. În acest context optăm pentru următoarea redacție art.168 alin.(1) – „Prezenta lege intră în vigoare la data de </w:t>
            </w:r>
            <w:r w:rsidRPr="00A4234B">
              <w:rPr>
                <w:rFonts w:ascii="Times New Roman" w:hAnsi="Times New Roman" w:cs="Times New Roman"/>
                <w:b/>
                <w:bCs/>
                <w:i/>
                <w:iCs/>
                <w:sz w:val="20"/>
                <w:szCs w:val="20"/>
              </w:rPr>
              <w:t>1 iunie 2028</w:t>
            </w:r>
            <w:r w:rsidRPr="004D0455">
              <w:rPr>
                <w:rFonts w:ascii="Times New Roman" w:hAnsi="Times New Roman" w:cs="Times New Roman"/>
                <w:sz w:val="20"/>
                <w:szCs w:val="20"/>
              </w:rPr>
              <w:t xml:space="preserve">, cu excepția </w:t>
            </w:r>
            <w:r w:rsidRPr="004D0455">
              <w:rPr>
                <w:rFonts w:ascii="Times New Roman" w:hAnsi="Times New Roman" w:cs="Times New Roman"/>
                <w:sz w:val="20"/>
                <w:szCs w:val="20"/>
              </w:rPr>
              <w:lastRenderedPageBreak/>
              <w:t>dispozițiilor prevăzute la alin.(4)...”. Respectiv să fie coroborat cu această dată și termenul de valabilitate a licențelor eliberate societăților de investiții stabilit la art.169 din proiectul de lege – ca fiind valabile până la 1 iunie 2029 și alte termene ce se impun în vederea respectării legii.</w:t>
            </w:r>
          </w:p>
        </w:tc>
        <w:tc>
          <w:tcPr>
            <w:tcW w:w="1273" w:type="pct"/>
            <w:vMerge/>
            <w:tcMar>
              <w:top w:w="24" w:type="dxa"/>
              <w:left w:w="48" w:type="dxa"/>
              <w:bottom w:w="24" w:type="dxa"/>
              <w:right w:w="48" w:type="dxa"/>
            </w:tcMar>
            <w:vAlign w:val="center"/>
          </w:tcPr>
          <w:p w14:paraId="6E04392C" w14:textId="77777777" w:rsidR="008F2120" w:rsidRDefault="008F2120" w:rsidP="008F2120">
            <w:pPr>
              <w:spacing w:after="0" w:line="240" w:lineRule="auto"/>
              <w:jc w:val="both"/>
              <w:rPr>
                <w:rFonts w:ascii="Times New Roman" w:hAnsi="Times New Roman" w:cs="Times New Roman"/>
                <w:b/>
                <w:bCs/>
                <w:sz w:val="20"/>
                <w:szCs w:val="20"/>
              </w:rPr>
            </w:pPr>
          </w:p>
        </w:tc>
      </w:tr>
      <w:tr w:rsidR="008F2120" w:rsidRPr="00104D47" w14:paraId="1C87FBF4" w14:textId="77777777" w:rsidTr="000B07F2">
        <w:trPr>
          <w:jc w:val="center"/>
        </w:trPr>
        <w:tc>
          <w:tcPr>
            <w:tcW w:w="1197" w:type="pct"/>
            <w:vMerge w:val="restart"/>
            <w:tcMar>
              <w:top w:w="24" w:type="dxa"/>
              <w:left w:w="48" w:type="dxa"/>
              <w:bottom w:w="24" w:type="dxa"/>
              <w:right w:w="48" w:type="dxa"/>
            </w:tcMar>
            <w:vAlign w:val="center"/>
          </w:tcPr>
          <w:p w14:paraId="5EF469F2" w14:textId="77777777" w:rsidR="008F2120" w:rsidRPr="001B51D8" w:rsidRDefault="008F2120" w:rsidP="008F2120">
            <w:pPr>
              <w:spacing w:after="0" w:line="240" w:lineRule="auto"/>
              <w:rPr>
                <w:rFonts w:ascii="Times New Roman" w:eastAsia="Times New Roman" w:hAnsi="Times New Roman" w:cs="Times New Roman"/>
                <w:b/>
                <w:iCs/>
                <w:sz w:val="20"/>
                <w:szCs w:val="20"/>
                <w:lang w:val="ro-RO" w:eastAsia="ro-RO"/>
              </w:rPr>
            </w:pPr>
            <w:r w:rsidRPr="001B51D8">
              <w:rPr>
                <w:rFonts w:ascii="Times New Roman" w:eastAsia="Times New Roman" w:hAnsi="Times New Roman" w:cs="Times New Roman"/>
                <w:b/>
                <w:iCs/>
                <w:sz w:val="20"/>
                <w:szCs w:val="20"/>
                <w:lang w:val="ro-RO" w:eastAsia="ro-RO"/>
              </w:rPr>
              <w:t>Articolul 169. Dispoziții tranzitorii</w:t>
            </w:r>
          </w:p>
          <w:p w14:paraId="61915542" w14:textId="77777777" w:rsidR="008F2120" w:rsidRPr="001B51D8" w:rsidRDefault="008F2120" w:rsidP="008F2120">
            <w:pPr>
              <w:spacing w:after="0" w:line="240" w:lineRule="auto"/>
              <w:rPr>
                <w:rFonts w:ascii="Times New Roman" w:eastAsia="Times New Roman" w:hAnsi="Times New Roman" w:cs="Times New Roman"/>
                <w:bCs/>
                <w:sz w:val="20"/>
                <w:szCs w:val="20"/>
                <w:lang w:eastAsia="ro-RO"/>
              </w:rPr>
            </w:pPr>
            <w:r w:rsidRPr="001B51D8">
              <w:rPr>
                <w:rFonts w:ascii="Times New Roman" w:eastAsia="Times New Roman" w:hAnsi="Times New Roman" w:cs="Times New Roman"/>
                <w:bCs/>
                <w:sz w:val="20"/>
                <w:szCs w:val="20"/>
                <w:lang w:eastAsia="ro-RO"/>
              </w:rPr>
              <w:t xml:space="preserve">(1) Licențele de societate de investiții eliberate anterior în temeiul Legii nr.171/2012 privind piața de capital își păstrează valabilitatea până la 1 iunie 2028 sau până la data eliberării noilor autorizații sau aprobărilor în temeiul prezentei legi, dacă aceasta survine mai devreme. </w:t>
            </w:r>
          </w:p>
          <w:p w14:paraId="1F80B7D8" w14:textId="77777777" w:rsidR="008F2120" w:rsidRPr="001B51D8" w:rsidRDefault="008F2120" w:rsidP="008F2120">
            <w:pPr>
              <w:spacing w:after="0" w:line="240" w:lineRule="auto"/>
              <w:rPr>
                <w:rFonts w:ascii="Times New Roman" w:eastAsia="Times New Roman" w:hAnsi="Times New Roman" w:cs="Times New Roman"/>
                <w:bCs/>
                <w:sz w:val="20"/>
                <w:szCs w:val="20"/>
                <w:lang w:eastAsia="ro-RO"/>
              </w:rPr>
            </w:pPr>
            <w:r w:rsidRPr="001B51D8">
              <w:rPr>
                <w:rFonts w:ascii="Times New Roman" w:eastAsia="Times New Roman" w:hAnsi="Times New Roman" w:cs="Times New Roman"/>
                <w:bCs/>
                <w:sz w:val="20"/>
                <w:szCs w:val="20"/>
                <w:lang w:eastAsia="ro-RO"/>
              </w:rPr>
              <w:t xml:space="preserve">(2) Licențele de operator de piață, eliberate anterior în temeiul Legii nr.171/2012 privind piața de capital, își păstrează valabilitatea până la data intrării în vigoare a prezentei legi. </w:t>
            </w:r>
          </w:p>
          <w:p w14:paraId="28199E68" w14:textId="77777777" w:rsidR="008F2120" w:rsidRPr="001B51D8" w:rsidRDefault="008F2120" w:rsidP="008F2120">
            <w:pPr>
              <w:spacing w:after="0" w:line="240" w:lineRule="auto"/>
              <w:rPr>
                <w:rFonts w:ascii="Times New Roman" w:eastAsia="Times New Roman" w:hAnsi="Times New Roman" w:cs="Times New Roman"/>
                <w:bCs/>
                <w:sz w:val="20"/>
                <w:szCs w:val="20"/>
                <w:lang w:eastAsia="ro-RO"/>
              </w:rPr>
            </w:pPr>
            <w:r w:rsidRPr="001B51D8">
              <w:rPr>
                <w:rFonts w:ascii="Times New Roman" w:eastAsia="Times New Roman" w:hAnsi="Times New Roman" w:cs="Times New Roman"/>
                <w:bCs/>
                <w:sz w:val="20"/>
                <w:szCs w:val="20"/>
                <w:lang w:eastAsia="ro-RO"/>
              </w:rPr>
              <w:t xml:space="preserve">(3) Autorizațiile de piețe reglementate și autorizațiile de MTF își păstrează valabilitatea până la 1 iunie 2028 sau până la data eliberării noilor autorizații în temeiul prezentei legi, dacă aceasta survine mai devreme. </w:t>
            </w:r>
          </w:p>
          <w:p w14:paraId="79DEB373"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1B51D8">
              <w:rPr>
                <w:rFonts w:ascii="Times New Roman" w:eastAsia="Times New Roman" w:hAnsi="Times New Roman" w:cs="Times New Roman"/>
                <w:bCs/>
                <w:sz w:val="20"/>
                <w:szCs w:val="20"/>
                <w:lang w:eastAsia="ro-RO"/>
              </w:rPr>
              <w:t>(4) Aprobările acordate</w:t>
            </w:r>
            <w:r w:rsidRPr="00CB2F3E">
              <w:rPr>
                <w:rFonts w:ascii="Times New Roman" w:eastAsia="Times New Roman" w:hAnsi="Times New Roman" w:cs="Times New Roman"/>
                <w:bCs/>
                <w:sz w:val="20"/>
                <w:szCs w:val="20"/>
                <w:lang w:eastAsia="ro-RO"/>
              </w:rPr>
              <w:t xml:space="preserve"> consultanților de investiții în temeiul Legii nr.171/2012 privind piața de capital își păstrează valabilitatea până la 1 iunie 2028 sau până la data aprobării acestora în temeiul prezentei legi, dacă aceasta survine mai devreme. </w:t>
            </w:r>
          </w:p>
          <w:p w14:paraId="6F974167"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t>(5) Până la data de 31 decembrie 2027, societățile de investiții, operatorii de piață și de sistem care exploatează o piață reglementată sau un MTF și consultanții de investiții:</w:t>
            </w:r>
          </w:p>
          <w:p w14:paraId="18B50BB9"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lastRenderedPageBreak/>
              <w:t>a) vor depune cererile pentru obținerea autorizațiilor sau aprobărilor potrivit alin.(1)-(4) și procedurii stabilite de CNPF;</w:t>
            </w:r>
          </w:p>
          <w:p w14:paraId="748F830F"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t>b) își vor modifica și revizui actele constitutive, regulamentele, regulile, politicile și alte documente interne pentru a le aduce în conformitate cu prevederile prezentei legi;</w:t>
            </w:r>
          </w:p>
          <w:p w14:paraId="40A3C1E6"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t>c) vor identifica persoanele care cad sub incidența prevederilor art.20 și art.23 și vor prezenta informațiile prevăzute de prezenta lege și de actele normative ale CNPF.</w:t>
            </w:r>
          </w:p>
          <w:p w14:paraId="65525A50"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t>(6) Pentru autorizațiile sau aprobările emise în temeiul alin.(5), precum şi pentru înregistrarea modificărilor şi completărilor în actele constitutive ale persoanelor prevăzute la alin.(5), efectuate în vederea aducerii acestora în conformitate cu prevederile prezentei legi, nu se percep taxe.</w:t>
            </w:r>
          </w:p>
          <w:p w14:paraId="235F8D06"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t>(7) În cazul persoanelor prevăzute la alin.(5) care nu depun cererea prevăzută la alin.(5) lit.a), o retrag sau nu se conformează cerințelor prevăzute la alin.(5), dreptul de a presta servicii și de a desfășura activități de investiții, inclusiv servicii auxiliare, precum și dreptul de a exploata o piață reglementată sau un MTF se suspendă începând cu data de 1 ianuarie 2028</w:t>
            </w:r>
            <w:r>
              <w:rPr>
                <w:rFonts w:ascii="Times New Roman" w:eastAsia="Times New Roman" w:hAnsi="Times New Roman" w:cs="Times New Roman"/>
                <w:bCs/>
                <w:sz w:val="20"/>
                <w:szCs w:val="20"/>
                <w:lang w:eastAsia="ro-RO"/>
              </w:rPr>
              <w:t>.</w:t>
            </w:r>
            <w:r w:rsidRPr="00CB2F3E">
              <w:rPr>
                <w:rFonts w:ascii="Times New Roman" w:eastAsia="Times New Roman" w:hAnsi="Times New Roman" w:cs="Times New Roman"/>
                <w:bCs/>
                <w:sz w:val="20"/>
                <w:szCs w:val="20"/>
                <w:lang w:eastAsia="ro-RO"/>
              </w:rPr>
              <w:t xml:space="preserve"> În cazul retragerii cererii după data de 1 ianuarie 2028, suspendarea drepturilor intervine de la data retragerii. De la data suspendării, persoana respectivă este obligată să sisteze prestarea serviciilor și desfășurarea activităților pe piața instrumentelor financiare reglementate de prezenta lege, cu excepția celor necesare pentru administrarea și finalizarea </w:t>
            </w:r>
            <w:r w:rsidRPr="00CB2F3E">
              <w:rPr>
                <w:rFonts w:ascii="Times New Roman" w:eastAsia="Times New Roman" w:hAnsi="Times New Roman" w:cs="Times New Roman"/>
                <w:bCs/>
                <w:sz w:val="20"/>
                <w:szCs w:val="20"/>
                <w:lang w:eastAsia="ro-RO"/>
              </w:rPr>
              <w:lastRenderedPageBreak/>
              <w:t>operațiunilor existente și pentru onorarea obligațiilor față de clienți.</w:t>
            </w:r>
          </w:p>
          <w:p w14:paraId="23B1F07B" w14:textId="77777777" w:rsidR="008F2120" w:rsidRPr="00CB2F3E" w:rsidRDefault="008F2120" w:rsidP="008F2120">
            <w:pPr>
              <w:spacing w:after="0" w:line="240" w:lineRule="auto"/>
              <w:rPr>
                <w:rFonts w:ascii="Times New Roman" w:eastAsia="Times New Roman" w:hAnsi="Times New Roman" w:cs="Times New Roman"/>
                <w:bCs/>
                <w:sz w:val="20"/>
                <w:szCs w:val="20"/>
                <w:lang w:eastAsia="ro-RO"/>
              </w:rPr>
            </w:pPr>
            <w:r w:rsidRPr="00CB2F3E">
              <w:rPr>
                <w:rFonts w:ascii="Times New Roman" w:eastAsia="Times New Roman" w:hAnsi="Times New Roman" w:cs="Times New Roman"/>
                <w:bCs/>
                <w:sz w:val="20"/>
                <w:szCs w:val="20"/>
                <w:lang w:eastAsia="ro-RO"/>
              </w:rPr>
              <w:t xml:space="preserve"> (8) CNPF va asigura controlul asupra respectării prevederilor prezentului articol de către persoanele prevăzute la alin.(5) și alin.(7).</w:t>
            </w:r>
          </w:p>
        </w:tc>
        <w:tc>
          <w:tcPr>
            <w:tcW w:w="599" w:type="pct"/>
            <w:tcMar>
              <w:top w:w="24" w:type="dxa"/>
              <w:left w:w="48" w:type="dxa"/>
              <w:bottom w:w="24" w:type="dxa"/>
              <w:right w:w="48" w:type="dxa"/>
            </w:tcMar>
            <w:vAlign w:val="center"/>
          </w:tcPr>
          <w:p w14:paraId="7C63553A"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 xml:space="preserve">Energbank </w:t>
            </w:r>
          </w:p>
          <w:p w14:paraId="09C99B45" w14:textId="77777777" w:rsidR="008A1D50" w:rsidRPr="00C9452A" w:rsidRDefault="008A1D5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(scrisoare nr.08/04/617 din 15.05.2026)</w:t>
            </w:r>
          </w:p>
        </w:tc>
        <w:tc>
          <w:tcPr>
            <w:tcW w:w="184" w:type="pct"/>
            <w:tcMar>
              <w:top w:w="24" w:type="dxa"/>
              <w:left w:w="48" w:type="dxa"/>
              <w:bottom w:w="24" w:type="dxa"/>
              <w:right w:w="48" w:type="dxa"/>
            </w:tcMar>
            <w:vAlign w:val="center"/>
          </w:tcPr>
          <w:p w14:paraId="165649A9"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38</w:t>
            </w:r>
          </w:p>
        </w:tc>
        <w:tc>
          <w:tcPr>
            <w:tcW w:w="1747" w:type="pct"/>
            <w:tcMar>
              <w:top w:w="24" w:type="dxa"/>
              <w:left w:w="48" w:type="dxa"/>
              <w:bottom w:w="24" w:type="dxa"/>
              <w:right w:w="48" w:type="dxa"/>
            </w:tcMar>
            <w:vAlign w:val="center"/>
          </w:tcPr>
          <w:p w14:paraId="07549697"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bCs/>
                <w:sz w:val="20"/>
                <w:szCs w:val="20"/>
              </w:rPr>
              <w:t>Articolul 169 – dispoziții tranzitorii: Se propune corelarea termenelor tranzitorii cu termenul efectiv de intrare în vigoare a legii, pentru a asigura un proces fezabil de autorizare și conformare. Și anume, la expirarea a 6 luni de la data intrării în vigoare.</w:t>
            </w:r>
          </w:p>
        </w:tc>
        <w:tc>
          <w:tcPr>
            <w:tcW w:w="1273" w:type="pct"/>
            <w:vMerge w:val="restart"/>
            <w:tcMar>
              <w:top w:w="24" w:type="dxa"/>
              <w:left w:w="48" w:type="dxa"/>
              <w:bottom w:w="24" w:type="dxa"/>
              <w:right w:w="48" w:type="dxa"/>
            </w:tcMar>
            <w:vAlign w:val="center"/>
          </w:tcPr>
          <w:p w14:paraId="5321C930" w14:textId="50B4089E" w:rsidR="008F2120" w:rsidRDefault="00BE1068" w:rsidP="008F2120">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w:t>
            </w:r>
            <w:r w:rsidR="008F2120">
              <w:rPr>
                <w:rFonts w:ascii="Times New Roman" w:hAnsi="Times New Roman" w:cs="Times New Roman"/>
                <w:b/>
                <w:sz w:val="20"/>
                <w:szCs w:val="20"/>
                <w:lang w:val="ro-RO" w:eastAsia="ro-RO"/>
              </w:rPr>
              <w:t>e acceptă</w:t>
            </w:r>
            <w:r>
              <w:rPr>
                <w:rFonts w:ascii="Times New Roman" w:hAnsi="Times New Roman" w:cs="Times New Roman"/>
                <w:b/>
                <w:sz w:val="20"/>
                <w:szCs w:val="20"/>
                <w:lang w:val="ro-RO" w:eastAsia="ro-RO"/>
              </w:rPr>
              <w:t xml:space="preserve"> parțial</w:t>
            </w:r>
            <w:r w:rsidR="008F2120">
              <w:rPr>
                <w:rFonts w:ascii="Times New Roman" w:hAnsi="Times New Roman" w:cs="Times New Roman"/>
                <w:b/>
                <w:sz w:val="20"/>
                <w:szCs w:val="20"/>
                <w:lang w:val="ro-RO" w:eastAsia="ro-RO"/>
              </w:rPr>
              <w:t xml:space="preserve">. </w:t>
            </w:r>
          </w:p>
          <w:p w14:paraId="25BB6AAB" w14:textId="17F561EF" w:rsidR="00BE1068" w:rsidRPr="00BE1068" w:rsidRDefault="00BE1068" w:rsidP="008F2120">
            <w:pPr>
              <w:spacing w:after="0" w:line="240" w:lineRule="auto"/>
              <w:jc w:val="both"/>
              <w:rPr>
                <w:rFonts w:ascii="Times New Roman" w:hAnsi="Times New Roman" w:cs="Times New Roman"/>
                <w:sz w:val="20"/>
                <w:szCs w:val="20"/>
                <w:lang w:val="ro-RO" w:eastAsia="ro-RO"/>
              </w:rPr>
            </w:pPr>
            <w:r w:rsidRPr="00BE1068">
              <w:rPr>
                <w:rFonts w:ascii="Times New Roman" w:hAnsi="Times New Roman" w:cs="Times New Roman"/>
                <w:sz w:val="20"/>
                <w:szCs w:val="20"/>
                <w:lang w:val="ro-RO" w:eastAsia="ro-RO"/>
              </w:rPr>
              <w:t>Termenul de intrare în vigoare a fost revăzut.</w:t>
            </w:r>
          </w:p>
          <w:p w14:paraId="52302854" w14:textId="5A005774" w:rsidR="008F2120" w:rsidRDefault="008F2120" w:rsidP="00BE1068">
            <w:pPr>
              <w:spacing w:after="0" w:line="240" w:lineRule="auto"/>
              <w:jc w:val="both"/>
              <w:rPr>
                <w:rFonts w:ascii="Times New Roman" w:hAnsi="Times New Roman" w:cs="Times New Roman"/>
                <w:b/>
                <w:bCs/>
                <w:sz w:val="20"/>
                <w:szCs w:val="20"/>
              </w:rPr>
            </w:pPr>
            <w:r w:rsidRPr="001B51D8">
              <w:rPr>
                <w:rFonts w:ascii="Times New Roman" w:hAnsi="Times New Roman" w:cs="Times New Roman"/>
                <w:sz w:val="20"/>
                <w:szCs w:val="20"/>
                <w:lang w:val="ro-RO" w:eastAsia="ro-RO"/>
              </w:rPr>
              <w:t xml:space="preserve">Termenul tranzitoriu propus în observație este deja asigurat de proiect. Art.169 alin.(5) instituie obligația entităților vizate de a depune cererile de autorizare și de a-și aduce documentele interne în conformitate cu prevederile prezentei legi până la data de 31 decembrie 2027, iar suspendarea drepturilor de a presta servicii și de a desfășura activități de investiții operează, conform art.169 alin.(7), începând cu 1 ianuarie 2028. </w:t>
            </w:r>
          </w:p>
        </w:tc>
      </w:tr>
      <w:tr w:rsidR="008F2120" w:rsidRPr="00104D47" w14:paraId="7A2C0E2D" w14:textId="77777777" w:rsidTr="000B07F2">
        <w:trPr>
          <w:jc w:val="center"/>
        </w:trPr>
        <w:tc>
          <w:tcPr>
            <w:tcW w:w="1197" w:type="pct"/>
            <w:vMerge/>
            <w:tcMar>
              <w:top w:w="24" w:type="dxa"/>
              <w:left w:w="48" w:type="dxa"/>
              <w:bottom w:w="24" w:type="dxa"/>
              <w:right w:w="48" w:type="dxa"/>
            </w:tcMar>
            <w:vAlign w:val="center"/>
          </w:tcPr>
          <w:p w14:paraId="27D98686" w14:textId="77777777" w:rsidR="008F2120" w:rsidRDefault="008F2120" w:rsidP="008F2120">
            <w:pPr>
              <w:spacing w:after="0" w:line="240" w:lineRule="auto"/>
              <w:rPr>
                <w:rFonts w:ascii="Times New Roman" w:eastAsia="Times New Roman" w:hAnsi="Times New Roman" w:cs="Times New Roman"/>
                <w:b/>
                <w:sz w:val="20"/>
                <w:szCs w:val="20"/>
                <w:lang w:eastAsia="ro-RO"/>
              </w:rPr>
            </w:pPr>
          </w:p>
        </w:tc>
        <w:tc>
          <w:tcPr>
            <w:tcW w:w="599" w:type="pct"/>
            <w:tcMar>
              <w:top w:w="24" w:type="dxa"/>
              <w:left w:w="48" w:type="dxa"/>
              <w:bottom w:w="24" w:type="dxa"/>
              <w:right w:w="48" w:type="dxa"/>
            </w:tcMar>
            <w:vAlign w:val="center"/>
          </w:tcPr>
          <w:p w14:paraId="5F0A9613"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ABM</w:t>
            </w:r>
          </w:p>
          <w:p w14:paraId="342C371C" w14:textId="77777777" w:rsidR="008A1D50" w:rsidRPr="00C9452A" w:rsidRDefault="008A1D5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(scrisoare nr.02-07/148 din 20.05.2026)</w:t>
            </w:r>
          </w:p>
        </w:tc>
        <w:tc>
          <w:tcPr>
            <w:tcW w:w="184" w:type="pct"/>
            <w:tcMar>
              <w:top w:w="24" w:type="dxa"/>
              <w:left w:w="48" w:type="dxa"/>
              <w:bottom w:w="24" w:type="dxa"/>
              <w:right w:w="48" w:type="dxa"/>
            </w:tcMar>
            <w:vAlign w:val="center"/>
          </w:tcPr>
          <w:p w14:paraId="1F4B0FB4"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39</w:t>
            </w:r>
          </w:p>
        </w:tc>
        <w:tc>
          <w:tcPr>
            <w:tcW w:w="1747" w:type="pct"/>
            <w:tcMar>
              <w:top w:w="24" w:type="dxa"/>
              <w:left w:w="48" w:type="dxa"/>
              <w:bottom w:w="24" w:type="dxa"/>
              <w:right w:w="48" w:type="dxa"/>
            </w:tcMar>
            <w:vAlign w:val="center"/>
          </w:tcPr>
          <w:p w14:paraId="1DA640C3"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bCs/>
                <w:sz w:val="20"/>
                <w:szCs w:val="20"/>
              </w:rPr>
              <w:t>Corelativ, cu referire la articolul 169 privind dispozițiile tranzitorii, propunem ajustarea termenelor tranzitorii în raport cu termenul efectiv de intrare în vigoare a legii. În acest sens, considerăm oportun ca obligațiile de autorizare și conformare să devină aplicabile la expirarea a 6 luni de la data intrării în vigoare a legii, pentru a asigura un proces fezabil și predictibil de adaptare la noile cerințe.</w:t>
            </w:r>
          </w:p>
        </w:tc>
        <w:tc>
          <w:tcPr>
            <w:tcW w:w="1273" w:type="pct"/>
            <w:vMerge/>
            <w:tcMar>
              <w:top w:w="24" w:type="dxa"/>
              <w:left w:w="48" w:type="dxa"/>
              <w:bottom w:w="24" w:type="dxa"/>
              <w:right w:w="48" w:type="dxa"/>
            </w:tcMar>
            <w:vAlign w:val="center"/>
          </w:tcPr>
          <w:p w14:paraId="0E0F408D" w14:textId="77777777" w:rsidR="008F2120" w:rsidRDefault="008F2120" w:rsidP="008F2120">
            <w:pPr>
              <w:spacing w:after="0" w:line="240" w:lineRule="auto"/>
              <w:jc w:val="both"/>
              <w:rPr>
                <w:rFonts w:ascii="Times New Roman" w:hAnsi="Times New Roman" w:cs="Times New Roman"/>
                <w:b/>
                <w:bCs/>
                <w:sz w:val="20"/>
                <w:szCs w:val="20"/>
              </w:rPr>
            </w:pPr>
          </w:p>
        </w:tc>
      </w:tr>
      <w:tr w:rsidR="008F2120" w:rsidRPr="00104D47" w14:paraId="32CAE4D5" w14:textId="77777777" w:rsidTr="000B07F2">
        <w:trPr>
          <w:jc w:val="center"/>
        </w:trPr>
        <w:tc>
          <w:tcPr>
            <w:tcW w:w="1197" w:type="pct"/>
            <w:vMerge/>
            <w:tcMar>
              <w:top w:w="24" w:type="dxa"/>
              <w:left w:w="48" w:type="dxa"/>
              <w:bottom w:w="24" w:type="dxa"/>
              <w:right w:w="48" w:type="dxa"/>
            </w:tcMar>
            <w:vAlign w:val="center"/>
          </w:tcPr>
          <w:p w14:paraId="0728D3F4" w14:textId="77777777" w:rsidR="008F2120" w:rsidRDefault="008F2120" w:rsidP="008F2120">
            <w:pPr>
              <w:spacing w:after="0" w:line="240" w:lineRule="auto"/>
              <w:rPr>
                <w:rFonts w:ascii="Times New Roman" w:eastAsia="Times New Roman" w:hAnsi="Times New Roman" w:cs="Times New Roman"/>
                <w:b/>
                <w:sz w:val="20"/>
                <w:szCs w:val="20"/>
                <w:lang w:eastAsia="ro-RO"/>
              </w:rPr>
            </w:pPr>
            <w:bookmarkStart w:id="0" w:name="_Hlk233207256"/>
          </w:p>
        </w:tc>
        <w:tc>
          <w:tcPr>
            <w:tcW w:w="599" w:type="pct"/>
            <w:tcMar>
              <w:top w:w="24" w:type="dxa"/>
              <w:left w:w="48" w:type="dxa"/>
              <w:bottom w:w="24" w:type="dxa"/>
              <w:right w:w="48" w:type="dxa"/>
            </w:tcMar>
            <w:vAlign w:val="center"/>
          </w:tcPr>
          <w:p w14:paraId="4457F801"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S.I. „Pro Invest Capital” S.A. </w:t>
            </w:r>
            <w:r w:rsidRPr="00AD62E8">
              <w:rPr>
                <w:rFonts w:ascii="Times New Roman" w:eastAsia="Times New Roman" w:hAnsi="Times New Roman" w:cs="Times New Roman"/>
                <w:sz w:val="20"/>
                <w:szCs w:val="20"/>
                <w:lang w:eastAsia="ro-RO"/>
              </w:rPr>
              <w:t>(scrisoare nr.124 din 09.06.2026)</w:t>
            </w:r>
          </w:p>
        </w:tc>
        <w:tc>
          <w:tcPr>
            <w:tcW w:w="184" w:type="pct"/>
            <w:tcMar>
              <w:top w:w="24" w:type="dxa"/>
              <w:left w:w="48" w:type="dxa"/>
              <w:bottom w:w="24" w:type="dxa"/>
              <w:right w:w="48" w:type="dxa"/>
            </w:tcMar>
            <w:vAlign w:val="center"/>
          </w:tcPr>
          <w:p w14:paraId="7DD21953" w14:textId="77777777" w:rsidR="008F2120"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40</w:t>
            </w:r>
          </w:p>
        </w:tc>
        <w:tc>
          <w:tcPr>
            <w:tcW w:w="1747" w:type="pct"/>
            <w:tcMar>
              <w:top w:w="24" w:type="dxa"/>
              <w:left w:w="48" w:type="dxa"/>
              <w:bottom w:w="24" w:type="dxa"/>
              <w:right w:w="48" w:type="dxa"/>
            </w:tcMar>
            <w:vAlign w:val="center"/>
          </w:tcPr>
          <w:p w14:paraId="002272A0"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t>Proiectul legii în principiu este susținut de către Societatea, totodată, venim cu următoarea propunere de completare a dispozițiilor tranzitorii prevăzute la art. 169.</w:t>
            </w:r>
          </w:p>
          <w:p w14:paraId="44942623" w14:textId="77777777" w:rsidR="008F2120" w:rsidRPr="00F55B02" w:rsidRDefault="008F2120" w:rsidP="008F2120">
            <w:pPr>
              <w:spacing w:after="0" w:line="240" w:lineRule="auto"/>
              <w:ind w:right="98"/>
              <w:jc w:val="both"/>
              <w:rPr>
                <w:rFonts w:ascii="Times New Roman" w:hAnsi="Times New Roman" w:cs="Times New Roman"/>
                <w:sz w:val="20"/>
                <w:szCs w:val="20"/>
              </w:rPr>
            </w:pPr>
          </w:p>
          <w:p w14:paraId="0287E789"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t>Articolul 169 alin.(7) și alin.(8) din Proiect prevăd:</w:t>
            </w:r>
          </w:p>
          <w:p w14:paraId="32CA13F7"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t>„(7) În cazul persoanelor prevăzute la alin.(5) care nu depun cererea prevăzută la alin.(5) lit.a), o retrag sau nu se conformează cerințelor prevăzute la alin.(5), dreptul de a presta servicii și de a desfășura activități de investiții, inclusiv servicii auxiliare, precum și dreptul de a exploata o piață reglementată sau un MTF se suspendă începând cu data de 1 ianuarie 2028. În cazul retragerii cererii după data de 1 ianuarie 2028, suspendarea drepturilor intervine de la data retragerii. De la data suspendării, persoana respectivă este obligată să sisteze prestarea serviciilor și desfășurarea activităților pe piața instrumentelor financiare reglementate de prezenta lege, cu excepția celor necesare pentru administrarea și finalizarea operațiunilor existente și pentru onorarea obligațiilor față de clienți.</w:t>
            </w:r>
          </w:p>
          <w:p w14:paraId="0D6CB01F"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lastRenderedPageBreak/>
              <w:t xml:space="preserve">(8) CNPF va asigura controlul asupra respectării prevederilor prezentului articol de către persoanele prevăzute la alin,(5) și alin.(7).” </w:t>
            </w:r>
          </w:p>
          <w:p w14:paraId="1DAD4106"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t>Modificare propusă: completarea articolului 169 cu alineatul (7</w:t>
            </w:r>
            <w:r w:rsidRPr="00F55B02">
              <w:rPr>
                <w:rFonts w:ascii="Times New Roman" w:hAnsi="Times New Roman" w:cs="Times New Roman"/>
                <w:sz w:val="20"/>
                <w:szCs w:val="20"/>
                <w:vertAlign w:val="superscript"/>
              </w:rPr>
              <w:t>1</w:t>
            </w:r>
            <w:r w:rsidRPr="00F55B02">
              <w:rPr>
                <w:rFonts w:ascii="Times New Roman" w:hAnsi="Times New Roman" w:cs="Times New Roman"/>
                <w:sz w:val="20"/>
                <w:szCs w:val="20"/>
              </w:rPr>
              <w:t>), cu ajustarea corespunzătoare a alin.(8), după cum urmează:</w:t>
            </w:r>
          </w:p>
          <w:p w14:paraId="1AA439A8"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t>„(7</w:t>
            </w:r>
            <w:r w:rsidRPr="00F55B02">
              <w:rPr>
                <w:rFonts w:ascii="Times New Roman" w:hAnsi="Times New Roman" w:cs="Times New Roman"/>
                <w:sz w:val="20"/>
                <w:szCs w:val="20"/>
                <w:vertAlign w:val="superscript"/>
              </w:rPr>
              <w:t>1</w:t>
            </w:r>
            <w:r w:rsidRPr="00F55B02">
              <w:rPr>
                <w:rFonts w:ascii="Times New Roman" w:hAnsi="Times New Roman" w:cs="Times New Roman"/>
                <w:sz w:val="20"/>
                <w:szCs w:val="20"/>
              </w:rPr>
              <w:t>) Societățile de investiții care nu depun cererea prevăzută la alin.(5) lit.a), o retrag sau nu se conformează cerințelor stabilite la alin.(5) sunt obligate să transmită în deținere reală activele clienților aferente raporturilor contractuale încetate, în scopul finalizării operațiunilor existente și al onorării obligațiile față de clienți, în termen de cel mult 3 luni începând cu data de 1 ianuarie 2028, în conformitate cu procedura stabilită de Comisia Națională a Pieței Financiare.</w:t>
            </w:r>
          </w:p>
          <w:p w14:paraId="29449788" w14:textId="77777777" w:rsidR="008F2120" w:rsidRPr="00F55B02" w:rsidRDefault="008F2120" w:rsidP="008F2120">
            <w:pPr>
              <w:spacing w:after="0" w:line="240" w:lineRule="auto"/>
              <w:ind w:right="98"/>
              <w:jc w:val="both"/>
              <w:rPr>
                <w:rFonts w:ascii="Times New Roman" w:hAnsi="Times New Roman" w:cs="Times New Roman"/>
                <w:sz w:val="20"/>
                <w:szCs w:val="20"/>
              </w:rPr>
            </w:pPr>
            <w:r w:rsidRPr="00F55B02">
              <w:rPr>
                <w:rFonts w:ascii="Times New Roman" w:hAnsi="Times New Roman" w:cs="Times New Roman"/>
                <w:sz w:val="20"/>
                <w:szCs w:val="20"/>
              </w:rPr>
              <w:t>Instrumentele financiare care nu au fost reclamate de către deținătorii reali în termenul prevăzut la prezentul alineat vor fi transferate, în termen de 15 zile lucrătoare, în deținere reală a clienților, în baza documentelor emise de custode, inclusiv prin dispoziții de transmitere semnate unilateral de către societățile de investiții, transmise spre înregistrare societății de registru sau depozitarului central unic, în derogare de la prevederile legislației în domeniul pieței de capital.</w:t>
            </w:r>
          </w:p>
          <w:p w14:paraId="47760A68" w14:textId="77777777" w:rsidR="008F2120" w:rsidRPr="00F55B02" w:rsidRDefault="008F2120" w:rsidP="008F2120">
            <w:pPr>
              <w:autoSpaceDE w:val="0"/>
              <w:autoSpaceDN w:val="0"/>
              <w:adjustRightInd w:val="0"/>
              <w:spacing w:after="0" w:line="240" w:lineRule="auto"/>
              <w:ind w:right="98"/>
              <w:jc w:val="both"/>
              <w:rPr>
                <w:rFonts w:ascii="Times New Roman" w:hAnsi="Times New Roman" w:cs="Times New Roman"/>
                <w:bCs/>
                <w:sz w:val="20"/>
                <w:szCs w:val="20"/>
              </w:rPr>
            </w:pPr>
            <w:r w:rsidRPr="00F55B02">
              <w:rPr>
                <w:rFonts w:ascii="Times New Roman" w:hAnsi="Times New Roman" w:cs="Times New Roman"/>
                <w:sz w:val="20"/>
                <w:szCs w:val="20"/>
              </w:rPr>
              <w:t>(8) CNPF va asigura controlul asupra respectării prevederilor prezentului articol de către persoanele prevăzute la alin.(5), (7) și (7</w:t>
            </w:r>
            <w:r w:rsidRPr="00F55B02">
              <w:rPr>
                <w:rFonts w:ascii="Times New Roman" w:hAnsi="Times New Roman" w:cs="Times New Roman"/>
                <w:sz w:val="20"/>
                <w:szCs w:val="20"/>
                <w:vertAlign w:val="superscript"/>
              </w:rPr>
              <w:t>1</w:t>
            </w:r>
            <w:r w:rsidRPr="00F55B02">
              <w:rPr>
                <w:rFonts w:ascii="Times New Roman" w:hAnsi="Times New Roman" w:cs="Times New Roman"/>
                <w:sz w:val="20"/>
                <w:szCs w:val="20"/>
              </w:rPr>
              <w:t>).”</w:t>
            </w:r>
          </w:p>
        </w:tc>
        <w:tc>
          <w:tcPr>
            <w:tcW w:w="1273" w:type="pct"/>
            <w:tcMar>
              <w:top w:w="24" w:type="dxa"/>
              <w:left w:w="48" w:type="dxa"/>
              <w:bottom w:w="24" w:type="dxa"/>
              <w:right w:w="48" w:type="dxa"/>
            </w:tcMar>
            <w:vAlign w:val="center"/>
          </w:tcPr>
          <w:p w14:paraId="167A14FF" w14:textId="77777777" w:rsidR="008F2120" w:rsidRPr="00F55B02" w:rsidRDefault="00F55B02" w:rsidP="008F2120">
            <w:pPr>
              <w:spacing w:after="0" w:line="240" w:lineRule="auto"/>
              <w:jc w:val="both"/>
              <w:rPr>
                <w:rFonts w:ascii="Times New Roman" w:hAnsi="Times New Roman" w:cs="Times New Roman"/>
                <w:b/>
                <w:bCs/>
                <w:sz w:val="20"/>
                <w:szCs w:val="20"/>
              </w:rPr>
            </w:pPr>
            <w:r w:rsidRPr="00F55B02">
              <w:rPr>
                <w:rFonts w:ascii="Times New Roman" w:hAnsi="Times New Roman" w:cs="Times New Roman"/>
                <w:b/>
                <w:bCs/>
                <w:sz w:val="20"/>
                <w:szCs w:val="20"/>
              </w:rPr>
              <w:lastRenderedPageBreak/>
              <w:t>S</w:t>
            </w:r>
            <w:r w:rsidR="008F2120" w:rsidRPr="00F55B02">
              <w:rPr>
                <w:rFonts w:ascii="Times New Roman" w:hAnsi="Times New Roman" w:cs="Times New Roman"/>
                <w:b/>
                <w:bCs/>
                <w:sz w:val="20"/>
                <w:szCs w:val="20"/>
              </w:rPr>
              <w:t xml:space="preserve">e acceptă. </w:t>
            </w:r>
          </w:p>
          <w:p w14:paraId="64842C9D" w14:textId="77777777" w:rsidR="00F55B02" w:rsidRPr="00F55B02" w:rsidRDefault="00F55B02" w:rsidP="00F55B02">
            <w:pPr>
              <w:jc w:val="both"/>
              <w:rPr>
                <w:rFonts w:ascii="Times New Roman" w:hAnsi="Times New Roman" w:cs="Times New Roman"/>
                <w:sz w:val="20"/>
                <w:szCs w:val="20"/>
              </w:rPr>
            </w:pPr>
            <w:r w:rsidRPr="00F55B02">
              <w:rPr>
                <w:rFonts w:ascii="Times New Roman" w:hAnsi="Times New Roman" w:cs="Times New Roman"/>
                <w:sz w:val="20"/>
                <w:szCs w:val="20"/>
              </w:rPr>
              <w:t xml:space="preserve">Propunerea de completare a dispozițiilor tranzitorii a fost </w:t>
            </w:r>
            <w:r w:rsidR="00817C36">
              <w:rPr>
                <w:rFonts w:ascii="Times New Roman" w:hAnsi="Times New Roman" w:cs="Times New Roman"/>
                <w:sz w:val="20"/>
                <w:szCs w:val="20"/>
              </w:rPr>
              <w:t>acceptată</w:t>
            </w:r>
            <w:r w:rsidRPr="00F55B02">
              <w:rPr>
                <w:rFonts w:ascii="Times New Roman" w:hAnsi="Times New Roman" w:cs="Times New Roman"/>
                <w:sz w:val="20"/>
                <w:szCs w:val="20"/>
              </w:rPr>
              <w:t xml:space="preserve">, în scopul protejării intereselor clienților și al finalizării operațiunilor existente în cazul entităților care nu se conformează cerințelor </w:t>
            </w:r>
            <w:r w:rsidR="00817C36">
              <w:rPr>
                <w:rFonts w:ascii="Times New Roman" w:hAnsi="Times New Roman" w:cs="Times New Roman"/>
                <w:sz w:val="20"/>
                <w:szCs w:val="20"/>
              </w:rPr>
              <w:t xml:space="preserve">noi </w:t>
            </w:r>
            <w:r w:rsidRPr="00F55B02">
              <w:rPr>
                <w:rFonts w:ascii="Times New Roman" w:hAnsi="Times New Roman" w:cs="Times New Roman"/>
                <w:sz w:val="20"/>
                <w:szCs w:val="20"/>
              </w:rPr>
              <w:t xml:space="preserve">de autorizare. În acest sens, art.169 a fost completat cu un nou alineat (alin.(8) în redacția </w:t>
            </w:r>
            <w:r w:rsidR="00817C36">
              <w:rPr>
                <w:rFonts w:ascii="Times New Roman" w:hAnsi="Times New Roman" w:cs="Times New Roman"/>
                <w:sz w:val="20"/>
                <w:szCs w:val="20"/>
              </w:rPr>
              <w:t>nouă</w:t>
            </w:r>
            <w:r w:rsidRPr="00F55B02">
              <w:rPr>
                <w:rFonts w:ascii="Times New Roman" w:hAnsi="Times New Roman" w:cs="Times New Roman"/>
                <w:sz w:val="20"/>
                <w:szCs w:val="20"/>
              </w:rPr>
              <w:t xml:space="preserve">). </w:t>
            </w:r>
          </w:p>
          <w:p w14:paraId="3DB062CB" w14:textId="77777777" w:rsidR="008F2120" w:rsidRPr="00F55B02" w:rsidRDefault="008F2120" w:rsidP="008F2120">
            <w:pPr>
              <w:spacing w:after="0" w:line="240" w:lineRule="auto"/>
              <w:jc w:val="both"/>
              <w:rPr>
                <w:rFonts w:ascii="Times New Roman" w:hAnsi="Times New Roman" w:cs="Times New Roman"/>
                <w:b/>
                <w:bCs/>
                <w:sz w:val="20"/>
                <w:szCs w:val="20"/>
              </w:rPr>
            </w:pPr>
          </w:p>
        </w:tc>
      </w:tr>
      <w:bookmarkEnd w:id="0"/>
      <w:tr w:rsidR="008F2120" w:rsidRPr="00104D47" w14:paraId="4DFCFAD0" w14:textId="77777777" w:rsidTr="000B07F2">
        <w:trPr>
          <w:jc w:val="center"/>
        </w:trPr>
        <w:tc>
          <w:tcPr>
            <w:tcW w:w="1197" w:type="pct"/>
            <w:tcMar>
              <w:top w:w="24" w:type="dxa"/>
              <w:left w:w="48" w:type="dxa"/>
              <w:bottom w:w="24" w:type="dxa"/>
              <w:right w:w="48" w:type="dxa"/>
            </w:tcMar>
            <w:vAlign w:val="center"/>
          </w:tcPr>
          <w:p w14:paraId="2CB9861D" w14:textId="77777777" w:rsidR="008F2120" w:rsidRPr="00CB1BE7" w:rsidRDefault="008F2120" w:rsidP="008F2120">
            <w:pPr>
              <w:spacing w:after="0" w:line="240" w:lineRule="auto"/>
              <w:rPr>
                <w:rFonts w:ascii="Times New Roman" w:eastAsia="Times New Roman" w:hAnsi="Times New Roman" w:cs="Times New Roman"/>
                <w:b/>
                <w:sz w:val="20"/>
                <w:szCs w:val="20"/>
                <w:lang w:eastAsia="ro-RO"/>
              </w:rPr>
            </w:pPr>
            <w:r>
              <w:rPr>
                <w:rFonts w:ascii="Times New Roman" w:eastAsia="Times New Roman" w:hAnsi="Times New Roman" w:cs="Times New Roman"/>
                <w:b/>
                <w:sz w:val="20"/>
                <w:szCs w:val="20"/>
                <w:lang w:eastAsia="ro-RO"/>
              </w:rPr>
              <w:lastRenderedPageBreak/>
              <w:t>În contextul proiectului</w:t>
            </w:r>
          </w:p>
        </w:tc>
        <w:tc>
          <w:tcPr>
            <w:tcW w:w="599" w:type="pct"/>
            <w:tcMar>
              <w:top w:w="24" w:type="dxa"/>
              <w:left w:w="48" w:type="dxa"/>
              <w:bottom w:w="24" w:type="dxa"/>
              <w:right w:w="48" w:type="dxa"/>
            </w:tcMar>
            <w:vAlign w:val="center"/>
          </w:tcPr>
          <w:p w14:paraId="645ACBFE"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sidRPr="00C9452A">
              <w:rPr>
                <w:rFonts w:ascii="Times New Roman" w:eastAsia="Times New Roman" w:hAnsi="Times New Roman" w:cs="Times New Roman"/>
                <w:b/>
                <w:bCs/>
                <w:sz w:val="20"/>
                <w:szCs w:val="20"/>
                <w:lang w:eastAsia="ro-RO"/>
              </w:rPr>
              <w:t>SPCSB</w:t>
            </w:r>
          </w:p>
          <w:p w14:paraId="0A50B7BA" w14:textId="77777777" w:rsidR="008A1D50" w:rsidRPr="0003123E"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 01/2-30-789 din</w:t>
            </w:r>
          </w:p>
          <w:p w14:paraId="55A515FD" w14:textId="77777777" w:rsidR="008A1D50"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07.05.2026)</w:t>
            </w:r>
          </w:p>
          <w:p w14:paraId="39496653" w14:textId="77777777" w:rsidR="008A1D50" w:rsidRPr="00C9452A" w:rsidRDefault="008A1D50" w:rsidP="008F2120">
            <w:pPr>
              <w:spacing w:after="0" w:line="240" w:lineRule="auto"/>
              <w:rPr>
                <w:rFonts w:ascii="Times New Roman" w:eastAsia="Times New Roman" w:hAnsi="Times New Roman" w:cs="Times New Roman"/>
                <w:b/>
                <w:bCs/>
                <w:sz w:val="20"/>
                <w:szCs w:val="20"/>
                <w:highlight w:val="yellow"/>
                <w:lang w:eastAsia="ro-RO"/>
              </w:rPr>
            </w:pPr>
          </w:p>
        </w:tc>
        <w:tc>
          <w:tcPr>
            <w:tcW w:w="184" w:type="pct"/>
            <w:tcMar>
              <w:top w:w="24" w:type="dxa"/>
              <w:left w:w="48" w:type="dxa"/>
              <w:bottom w:w="24" w:type="dxa"/>
              <w:right w:w="48" w:type="dxa"/>
            </w:tcMar>
            <w:vAlign w:val="center"/>
          </w:tcPr>
          <w:p w14:paraId="4FE748B5" w14:textId="77777777" w:rsidR="008F2120" w:rsidRPr="00F20207" w:rsidRDefault="00AF3EDD" w:rsidP="008F2120">
            <w:pPr>
              <w:spacing w:after="0" w:line="240" w:lineRule="auto"/>
              <w:jc w:val="center"/>
              <w:rPr>
                <w:rFonts w:ascii="Times New Roman" w:eastAsia="Times New Roman" w:hAnsi="Times New Roman" w:cs="Times New Roman"/>
                <w:b/>
                <w:bCs/>
                <w:sz w:val="20"/>
                <w:szCs w:val="20"/>
                <w:highlight w:val="yellow"/>
                <w:lang w:eastAsia="ro-RO"/>
              </w:rPr>
            </w:pPr>
            <w:r>
              <w:rPr>
                <w:rFonts w:ascii="Times New Roman" w:eastAsia="Times New Roman" w:hAnsi="Times New Roman" w:cs="Times New Roman"/>
                <w:b/>
                <w:bCs/>
                <w:sz w:val="20"/>
                <w:szCs w:val="20"/>
                <w:lang w:eastAsia="ro-RO"/>
              </w:rPr>
              <w:t>41</w:t>
            </w:r>
          </w:p>
        </w:tc>
        <w:tc>
          <w:tcPr>
            <w:tcW w:w="1747" w:type="pct"/>
            <w:tcMar>
              <w:top w:w="24" w:type="dxa"/>
              <w:left w:w="48" w:type="dxa"/>
              <w:bottom w:w="24" w:type="dxa"/>
              <w:right w:w="48" w:type="dxa"/>
            </w:tcMar>
            <w:vAlign w:val="center"/>
          </w:tcPr>
          <w:p w14:paraId="76DD1753" w14:textId="77777777" w:rsidR="008F2120" w:rsidRPr="00104D47" w:rsidRDefault="008F2120" w:rsidP="008F2120">
            <w:pPr>
              <w:autoSpaceDE w:val="0"/>
              <w:autoSpaceDN w:val="0"/>
              <w:adjustRightInd w:val="0"/>
              <w:spacing w:after="0" w:line="240" w:lineRule="auto"/>
              <w:ind w:right="98"/>
              <w:jc w:val="both"/>
              <w:rPr>
                <w:rFonts w:ascii="Times New Roman" w:hAnsi="Times New Roman" w:cs="Times New Roman"/>
                <w:color w:val="000000"/>
                <w:highlight w:val="yellow"/>
              </w:rPr>
            </w:pPr>
            <w:r>
              <w:rPr>
                <w:rFonts w:ascii="Times New Roman" w:hAnsi="Times New Roman" w:cs="Times New Roman"/>
                <w:sz w:val="20"/>
                <w:szCs w:val="20"/>
                <w:lang w:val="ro-RO"/>
              </w:rPr>
              <w:t xml:space="preserve">Sub aspectul tehnicii legislative, se remarcă utilizarea repetată și parțial suprapusă a noțiunilor </w:t>
            </w:r>
            <w:r>
              <w:rPr>
                <w:rFonts w:ascii="Times New Roman" w:hAnsi="Times New Roman" w:cs="Times New Roman"/>
                <w:i/>
                <w:iCs/>
                <w:sz w:val="20"/>
                <w:szCs w:val="20"/>
                <w:lang w:val="ro-RO"/>
              </w:rPr>
              <w:t>„beneficiar efectiv”, „deținător direct sau indirect”, „deținător/dobânditor indirect”, „achizitor potențial”, „achiziție propusă”, „persoane care acționează în mod concertat” și „control”</w:t>
            </w:r>
            <w:r>
              <w:rPr>
                <w:rFonts w:ascii="Times New Roman" w:hAnsi="Times New Roman" w:cs="Times New Roman"/>
                <w:sz w:val="20"/>
                <w:szCs w:val="20"/>
                <w:lang w:val="ro-RO"/>
              </w:rPr>
              <w:t xml:space="preserve">, deși noțiunile respective sunt necesare în materia pieței instrumentelor financiare și supravegherii prudențiale, considerăm necesară o corelare suplimentară a acestora pentru evitarea eventualelor dificultăți de delimitare între titularul formal al participației, persoana care exercită controlul indirect și beneficiarul efectiv în sensul legislației privind prevenirea și combaterea spălării banilor și finanțării terorismului. </w:t>
            </w:r>
          </w:p>
        </w:tc>
        <w:tc>
          <w:tcPr>
            <w:tcW w:w="1273" w:type="pct"/>
            <w:tcMar>
              <w:top w:w="24" w:type="dxa"/>
              <w:left w:w="48" w:type="dxa"/>
              <w:bottom w:w="24" w:type="dxa"/>
              <w:right w:w="48" w:type="dxa"/>
            </w:tcMar>
            <w:vAlign w:val="center"/>
          </w:tcPr>
          <w:p w14:paraId="1AD4C79C" w14:textId="77777777" w:rsidR="008F2120" w:rsidRDefault="008F2120" w:rsidP="008F212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Se acceptă parțial</w:t>
            </w:r>
          </w:p>
          <w:p w14:paraId="6FFA7A45" w14:textId="77777777" w:rsidR="008F2120" w:rsidRPr="00F925AC" w:rsidRDefault="008F2120" w:rsidP="008F2120">
            <w:pPr>
              <w:spacing w:after="0"/>
              <w:rPr>
                <w:rFonts w:ascii="Times New Roman" w:hAnsi="Times New Roman" w:cs="Times New Roman"/>
                <w:sz w:val="20"/>
                <w:szCs w:val="20"/>
              </w:rPr>
            </w:pPr>
            <w:r>
              <w:rPr>
                <w:rFonts w:ascii="Times New Roman" w:hAnsi="Times New Roman" w:cs="Times New Roman"/>
                <w:sz w:val="20"/>
                <w:szCs w:val="20"/>
              </w:rPr>
              <w:t>Noțiunile îndeplinesc funcții distincte în cadrul regimului de evaluare a achizitorilor: Astfel:</w:t>
            </w:r>
          </w:p>
          <w:p w14:paraId="773197A8" w14:textId="77777777" w:rsidR="008F2120" w:rsidRDefault="008F2120" w:rsidP="008F21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i/>
                <w:iCs/>
                <w:sz w:val="20"/>
                <w:szCs w:val="20"/>
              </w:rPr>
              <w:t>achizitor potențial</w:t>
            </w:r>
            <w:r>
              <w:rPr>
                <w:rFonts w:ascii="Times New Roman" w:hAnsi="Times New Roman" w:cs="Times New Roman"/>
                <w:sz w:val="20"/>
                <w:szCs w:val="20"/>
              </w:rPr>
              <w:t xml:space="preserve"> (art. 4 alin. (1) pct. 2)) –  persoana sau </w:t>
            </w:r>
            <w:r>
              <w:rPr>
                <w:rFonts w:ascii="Times New Roman" w:hAnsi="Times New Roman" w:cs="Times New Roman"/>
                <w:i/>
                <w:iCs/>
                <w:sz w:val="20"/>
                <w:szCs w:val="20"/>
              </w:rPr>
              <w:t>grupul de persoane care acționează concertat</w:t>
            </w:r>
            <w:r>
              <w:rPr>
                <w:rFonts w:ascii="Times New Roman" w:hAnsi="Times New Roman" w:cs="Times New Roman"/>
                <w:sz w:val="20"/>
                <w:szCs w:val="20"/>
              </w:rPr>
              <w:t xml:space="preserve">, care intenționează să dobândească acțiuni; subiect al notificării prealabile pentru o </w:t>
            </w:r>
            <w:r>
              <w:rPr>
                <w:rFonts w:ascii="Times New Roman" w:hAnsi="Times New Roman" w:cs="Times New Roman"/>
                <w:i/>
                <w:iCs/>
                <w:sz w:val="20"/>
                <w:szCs w:val="20"/>
              </w:rPr>
              <w:t>achiziție propusă</w:t>
            </w:r>
            <w:r>
              <w:rPr>
                <w:rFonts w:ascii="Times New Roman" w:hAnsi="Times New Roman" w:cs="Times New Roman"/>
                <w:sz w:val="20"/>
                <w:szCs w:val="20"/>
              </w:rPr>
              <w:t xml:space="preserve">; </w:t>
            </w:r>
          </w:p>
          <w:p w14:paraId="44940C21" w14:textId="77777777" w:rsidR="008F2120" w:rsidRPr="00010252" w:rsidRDefault="008F2120" w:rsidP="008F21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i/>
                <w:iCs/>
                <w:sz w:val="20"/>
                <w:szCs w:val="20"/>
              </w:rPr>
              <w:t>achiziție propusă</w:t>
            </w:r>
            <w:r>
              <w:rPr>
                <w:rFonts w:ascii="Times New Roman" w:hAnsi="Times New Roman" w:cs="Times New Roman"/>
                <w:sz w:val="20"/>
                <w:szCs w:val="20"/>
              </w:rPr>
              <w:t xml:space="preserve"> (art. 4 alin. (1) pct. 3)) — </w:t>
            </w:r>
            <w:r>
              <w:rPr>
                <w:rFonts w:ascii="Times New Roman" w:hAnsi="Times New Roman" w:cs="Times New Roman"/>
                <w:i/>
                <w:iCs/>
                <w:sz w:val="20"/>
                <w:szCs w:val="20"/>
              </w:rPr>
              <w:t>operațiunea</w:t>
            </w:r>
            <w:r>
              <w:rPr>
                <w:rFonts w:ascii="Times New Roman" w:hAnsi="Times New Roman" w:cs="Times New Roman"/>
                <w:sz w:val="20"/>
                <w:szCs w:val="20"/>
              </w:rPr>
              <w:t xml:space="preserve"> concretă, raportată la pragurile prevăzute de lege;</w:t>
            </w:r>
          </w:p>
          <w:p w14:paraId="7EA230D1" w14:textId="77777777" w:rsidR="008F2120" w:rsidRDefault="008F2120" w:rsidP="008F212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sintagmele „achiziționare/dobândire” și „achiziție propusă/dobândire” (utilizate în special la art. 24 și art. 26–28) acoperă întreg spectrul de scenarii posibile de transfer al proprietății asupra acțiunilor –  nu doar cumpărarea, specifică noțiunii de „achiziție”/„achizitor”, ci și celelalte forme de transmitere a dreptului de proprietate (e.g. succesiune).</w:t>
            </w:r>
          </w:p>
          <w:p w14:paraId="2F37B22B" w14:textId="77777777" w:rsidR="008F2120" w:rsidRDefault="008F2120" w:rsidP="008F2120">
            <w:pPr>
              <w:spacing w:after="0" w:line="240" w:lineRule="auto"/>
              <w:jc w:val="both"/>
              <w:rPr>
                <w:rFonts w:ascii="Times New Roman" w:hAnsi="Times New Roman" w:cs="Times New Roman"/>
                <w:sz w:val="20"/>
                <w:szCs w:val="20"/>
              </w:rPr>
            </w:pPr>
          </w:p>
          <w:p w14:paraId="06BAF95C" w14:textId="77777777" w:rsidR="008F2120" w:rsidRPr="00010252" w:rsidRDefault="008F2120" w:rsidP="008F2120">
            <w:pPr>
              <w:spacing w:after="0" w:line="240" w:lineRule="auto"/>
              <w:jc w:val="both"/>
              <w:rPr>
                <w:rFonts w:ascii="Times New Roman" w:hAnsi="Times New Roman" w:cs="Times New Roman"/>
                <w:highlight w:val="yellow"/>
              </w:rPr>
            </w:pPr>
            <w:r>
              <w:rPr>
                <w:rFonts w:ascii="Times New Roman" w:hAnsi="Times New Roman" w:cs="Times New Roman"/>
                <w:sz w:val="20"/>
                <w:szCs w:val="20"/>
              </w:rPr>
              <w:t xml:space="preserve">În scopul evitării suprapunerilor, au fost efectuate unele modificări la art.4 alin.(1) pct.3) și pct.21). </w:t>
            </w:r>
          </w:p>
        </w:tc>
      </w:tr>
      <w:tr w:rsidR="008F2120" w:rsidRPr="00104D47" w14:paraId="24B77DAB" w14:textId="77777777" w:rsidTr="000B07F2">
        <w:trPr>
          <w:jc w:val="center"/>
        </w:trPr>
        <w:tc>
          <w:tcPr>
            <w:tcW w:w="1197" w:type="pct"/>
            <w:tcMar>
              <w:top w:w="24" w:type="dxa"/>
              <w:left w:w="48" w:type="dxa"/>
              <w:bottom w:w="24" w:type="dxa"/>
              <w:right w:w="48" w:type="dxa"/>
            </w:tcMar>
            <w:vAlign w:val="center"/>
          </w:tcPr>
          <w:p w14:paraId="7D2EE6D5" w14:textId="77777777" w:rsidR="008F2120" w:rsidRDefault="008F2120" w:rsidP="008F2120">
            <w:pPr>
              <w:spacing w:after="0" w:line="240" w:lineRule="auto"/>
              <w:rPr>
                <w:rFonts w:ascii="Times New Roman" w:eastAsia="Times New Roman" w:hAnsi="Times New Roman" w:cs="Times New Roman"/>
                <w:b/>
                <w:sz w:val="20"/>
                <w:szCs w:val="20"/>
                <w:lang w:eastAsia="ro-RO"/>
              </w:rPr>
            </w:pPr>
          </w:p>
        </w:tc>
        <w:tc>
          <w:tcPr>
            <w:tcW w:w="599" w:type="pct"/>
            <w:tcMar>
              <w:top w:w="24" w:type="dxa"/>
              <w:left w:w="48" w:type="dxa"/>
              <w:bottom w:w="24" w:type="dxa"/>
              <w:right w:w="48" w:type="dxa"/>
            </w:tcMar>
            <w:vAlign w:val="center"/>
          </w:tcPr>
          <w:p w14:paraId="0B5A8174"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SPCSB</w:t>
            </w:r>
          </w:p>
          <w:p w14:paraId="2A24ED39" w14:textId="77777777" w:rsidR="008A1D50" w:rsidRPr="0003123E"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 01/2-30-789 din</w:t>
            </w:r>
          </w:p>
          <w:p w14:paraId="65AD7261" w14:textId="77777777" w:rsidR="008A1D50"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07.05.2026)</w:t>
            </w:r>
          </w:p>
          <w:p w14:paraId="4A09E8CD" w14:textId="77777777" w:rsidR="008A1D50" w:rsidRPr="00C9452A" w:rsidRDefault="008A1D50" w:rsidP="008F2120">
            <w:pPr>
              <w:spacing w:after="0" w:line="240" w:lineRule="auto"/>
              <w:rPr>
                <w:rFonts w:ascii="Times New Roman" w:eastAsia="Times New Roman" w:hAnsi="Times New Roman" w:cs="Times New Roman"/>
                <w:b/>
                <w:bCs/>
                <w:sz w:val="20"/>
                <w:szCs w:val="20"/>
                <w:lang w:eastAsia="ro-RO"/>
              </w:rPr>
            </w:pPr>
          </w:p>
        </w:tc>
        <w:tc>
          <w:tcPr>
            <w:tcW w:w="184" w:type="pct"/>
            <w:tcMar>
              <w:top w:w="24" w:type="dxa"/>
              <w:left w:w="48" w:type="dxa"/>
              <w:bottom w:w="24" w:type="dxa"/>
              <w:right w:w="48" w:type="dxa"/>
            </w:tcMar>
            <w:vAlign w:val="center"/>
          </w:tcPr>
          <w:p w14:paraId="7934DA15" w14:textId="77777777" w:rsidR="008F2120" w:rsidRPr="00B2592D"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42</w:t>
            </w:r>
          </w:p>
        </w:tc>
        <w:tc>
          <w:tcPr>
            <w:tcW w:w="1747" w:type="pct"/>
            <w:tcMar>
              <w:top w:w="24" w:type="dxa"/>
              <w:left w:w="48" w:type="dxa"/>
              <w:bottom w:w="24" w:type="dxa"/>
              <w:right w:w="48" w:type="dxa"/>
            </w:tcMar>
            <w:vAlign w:val="center"/>
          </w:tcPr>
          <w:p w14:paraId="7B9F611E"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sidRPr="00A44108">
              <w:rPr>
                <w:rFonts w:ascii="Times New Roman" w:hAnsi="Times New Roman" w:cs="Times New Roman"/>
                <w:sz w:val="20"/>
                <w:szCs w:val="20"/>
              </w:rPr>
              <w:t xml:space="preserve">În ceea ce privește noul pachet legislativ al Uniunii Europene în domeniul prevenirii utilizării sistemului financiar în scopul spălării banilor sau finanțării terorismului, reprezentat de Regulamentul (UE) 2024/1624 al Parlamentului European și al Consiliului din 31 mai 2024 privind prevenirea utilizării sistemului financiar în 2 scopul spălării banilor sau finanțării </w:t>
            </w:r>
            <w:r w:rsidRPr="00A44108">
              <w:rPr>
                <w:rFonts w:ascii="Times New Roman" w:hAnsi="Times New Roman" w:cs="Times New Roman"/>
                <w:sz w:val="20"/>
                <w:szCs w:val="20"/>
              </w:rPr>
              <w:lastRenderedPageBreak/>
              <w:t>terorismului și Directiva (UE) 2024/1640 a Parlamentului European și a Consiliului din 31 mai 2024 privind mecanismele care trebuie instituite de statele membre pentru prevenirea utilizării sistemului financiar în scopul spălării banilor sau finanțării terorismului, menționăm că Serviciul Prevenirea și Combaterea Spălării Banilor se află în proces de elaborare a unui nou proiect de lege privind prevenirea și combaterea spălării banilor și finanțării terorismului pentru implementarea acestui pachet legislativ european. În acest context, considerăm necesar ca proiectul Legii privind piețele instrumentelor financiare și activitățile de investiții să evite consacrarea unor definiții sau mecanisme susceptibile să intre ulterior în contradicție cu noul cadru normativ național privind beneficiarul efectiv, transparența structurilor de proprietate și cooperarea interinstituțională în domeniul prevenirii și combaterii spălării banilor și finanțării terorismului. Prin urmare, pentru asigurarea coerenței normative și aplicării uniforme a cadrului legal, se propune clarificarea raportului dintre definiția sectorială a beneficiarului efectiv și definiția generală consacrată de legislația specială.</w:t>
            </w:r>
          </w:p>
        </w:tc>
        <w:tc>
          <w:tcPr>
            <w:tcW w:w="1273" w:type="pct"/>
            <w:tcMar>
              <w:top w:w="24" w:type="dxa"/>
              <w:left w:w="48" w:type="dxa"/>
              <w:bottom w:w="24" w:type="dxa"/>
              <w:right w:w="48" w:type="dxa"/>
            </w:tcMar>
            <w:vAlign w:val="center"/>
          </w:tcPr>
          <w:p w14:paraId="2C5DC817" w14:textId="77777777" w:rsidR="008F2120" w:rsidRDefault="008F2120" w:rsidP="008F212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Se acceptă parțial.</w:t>
            </w:r>
          </w:p>
          <w:p w14:paraId="24D1EE80" w14:textId="77777777" w:rsidR="008F2120" w:rsidRPr="00980BF6" w:rsidRDefault="008F2120" w:rsidP="008F2120">
            <w:pPr>
              <w:spacing w:after="0" w:line="240" w:lineRule="auto"/>
              <w:jc w:val="both"/>
              <w:rPr>
                <w:rFonts w:ascii="Times New Roman" w:hAnsi="Times New Roman" w:cs="Times New Roman"/>
                <w:bCs/>
                <w:sz w:val="20"/>
                <w:szCs w:val="20"/>
              </w:rPr>
            </w:pPr>
            <w:r w:rsidRPr="00980BF6">
              <w:rPr>
                <w:rFonts w:ascii="Times New Roman" w:hAnsi="Times New Roman" w:cs="Times New Roman"/>
                <w:bCs/>
                <w:sz w:val="20"/>
                <w:szCs w:val="20"/>
              </w:rPr>
              <w:t xml:space="preserve">Proiectul în cauză a fost elaborat întru alinierea legislației naționale la normele acquis-ului comunitar în domeniul instrumentelor financiar. În partea ce ține de legislația aferentă prevenirii și combaterii spălării banilor, o dată cu lansarea </w:t>
            </w:r>
            <w:r w:rsidRPr="00980BF6">
              <w:rPr>
                <w:rFonts w:ascii="Times New Roman" w:hAnsi="Times New Roman" w:cs="Times New Roman"/>
                <w:bCs/>
                <w:sz w:val="20"/>
                <w:szCs w:val="20"/>
              </w:rPr>
              <w:lastRenderedPageBreak/>
              <w:t>proiectului elaborat de SPCSB spre avizare și consultare publică, după caz, proiectul de Lege privind piețele instrumentelor financiare urmează a fi revăzut întru neadmiterea paralelismelor legislative sau normelor contradictorii.</w:t>
            </w:r>
          </w:p>
        </w:tc>
      </w:tr>
      <w:tr w:rsidR="008F2120" w:rsidRPr="00104D47" w14:paraId="62D027CA" w14:textId="77777777" w:rsidTr="000B07F2">
        <w:trPr>
          <w:jc w:val="center"/>
        </w:trPr>
        <w:tc>
          <w:tcPr>
            <w:tcW w:w="1197" w:type="pct"/>
            <w:tcMar>
              <w:top w:w="24" w:type="dxa"/>
              <w:left w:w="48" w:type="dxa"/>
              <w:bottom w:w="24" w:type="dxa"/>
              <w:right w:w="48" w:type="dxa"/>
            </w:tcMar>
            <w:vAlign w:val="center"/>
          </w:tcPr>
          <w:p w14:paraId="2E5CC271" w14:textId="77777777" w:rsidR="008F2120" w:rsidRDefault="008F2120" w:rsidP="008F2120">
            <w:pPr>
              <w:spacing w:after="0" w:line="240" w:lineRule="auto"/>
              <w:rPr>
                <w:rFonts w:ascii="Times New Roman" w:eastAsia="Times New Roman" w:hAnsi="Times New Roman" w:cs="Times New Roman"/>
                <w:b/>
                <w:sz w:val="20"/>
                <w:szCs w:val="20"/>
                <w:lang w:eastAsia="ro-RO"/>
              </w:rPr>
            </w:pPr>
            <w:r>
              <w:rPr>
                <w:rFonts w:ascii="Times New Roman" w:eastAsia="Times New Roman" w:hAnsi="Times New Roman" w:cs="Times New Roman"/>
                <w:b/>
                <w:sz w:val="20"/>
                <w:szCs w:val="20"/>
                <w:lang w:eastAsia="ro-RO"/>
              </w:rPr>
              <w:lastRenderedPageBreak/>
              <w:t>În contextul proiectului</w:t>
            </w:r>
          </w:p>
        </w:tc>
        <w:tc>
          <w:tcPr>
            <w:tcW w:w="599" w:type="pct"/>
            <w:tcMar>
              <w:top w:w="24" w:type="dxa"/>
              <w:left w:w="48" w:type="dxa"/>
              <w:bottom w:w="24" w:type="dxa"/>
              <w:right w:w="48" w:type="dxa"/>
            </w:tcMar>
            <w:vAlign w:val="center"/>
          </w:tcPr>
          <w:p w14:paraId="379C412B"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sidRPr="00C9452A">
              <w:rPr>
                <w:rFonts w:ascii="Times New Roman" w:eastAsia="Times New Roman" w:hAnsi="Times New Roman" w:cs="Times New Roman"/>
                <w:b/>
                <w:bCs/>
                <w:sz w:val="20"/>
                <w:szCs w:val="20"/>
                <w:lang w:eastAsia="ro-RO"/>
              </w:rPr>
              <w:t>BNM</w:t>
            </w:r>
          </w:p>
          <w:p w14:paraId="007CD97B" w14:textId="77777777" w:rsidR="008A1D50" w:rsidRPr="0003123E"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nr.31-002/64/2418 din</w:t>
            </w:r>
          </w:p>
          <w:p w14:paraId="50AFE267" w14:textId="77777777" w:rsidR="008A1D50" w:rsidRDefault="008A1D50" w:rsidP="008A1D5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14.05.2026)</w:t>
            </w:r>
          </w:p>
          <w:p w14:paraId="068D7565" w14:textId="77777777" w:rsidR="008A1D50" w:rsidRPr="00C9452A" w:rsidRDefault="008A1D50" w:rsidP="008F2120">
            <w:pPr>
              <w:spacing w:after="0" w:line="240" w:lineRule="auto"/>
              <w:rPr>
                <w:rFonts w:ascii="Times New Roman" w:eastAsia="Times New Roman" w:hAnsi="Times New Roman" w:cs="Times New Roman"/>
                <w:b/>
                <w:bCs/>
                <w:sz w:val="20"/>
                <w:szCs w:val="20"/>
                <w:lang w:eastAsia="ro-RO"/>
              </w:rPr>
            </w:pPr>
          </w:p>
        </w:tc>
        <w:tc>
          <w:tcPr>
            <w:tcW w:w="184" w:type="pct"/>
            <w:tcMar>
              <w:top w:w="24" w:type="dxa"/>
              <w:left w:w="48" w:type="dxa"/>
              <w:bottom w:w="24" w:type="dxa"/>
              <w:right w:w="48" w:type="dxa"/>
            </w:tcMar>
            <w:vAlign w:val="center"/>
          </w:tcPr>
          <w:p w14:paraId="7BDD58D0" w14:textId="77777777" w:rsidR="008F2120" w:rsidRDefault="005877EB"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w:t>
            </w:r>
            <w:r w:rsidR="00AF3EDD">
              <w:rPr>
                <w:rFonts w:ascii="Times New Roman" w:eastAsia="Times New Roman" w:hAnsi="Times New Roman" w:cs="Times New Roman"/>
                <w:b/>
                <w:bCs/>
                <w:sz w:val="20"/>
                <w:szCs w:val="20"/>
                <w:lang w:eastAsia="ro-RO"/>
              </w:rPr>
              <w:t>3</w:t>
            </w:r>
          </w:p>
        </w:tc>
        <w:tc>
          <w:tcPr>
            <w:tcW w:w="1747" w:type="pct"/>
            <w:tcMar>
              <w:top w:w="24" w:type="dxa"/>
              <w:left w:w="48" w:type="dxa"/>
              <w:bottom w:w="24" w:type="dxa"/>
              <w:right w:w="48" w:type="dxa"/>
            </w:tcMar>
            <w:vAlign w:val="center"/>
          </w:tcPr>
          <w:p w14:paraId="75A51B72" w14:textId="77777777" w:rsidR="008F2120" w:rsidRDefault="008F2120" w:rsidP="008F2120">
            <w:pPr>
              <w:autoSpaceDE w:val="0"/>
              <w:autoSpaceDN w:val="0"/>
              <w:adjustRightInd w:val="0"/>
              <w:spacing w:after="0" w:line="240" w:lineRule="auto"/>
              <w:ind w:right="98"/>
              <w:jc w:val="both"/>
              <w:rPr>
                <w:rFonts w:ascii="Times New Roman" w:hAnsi="Times New Roman" w:cs="Times New Roman"/>
                <w:sz w:val="20"/>
                <w:szCs w:val="20"/>
                <w:lang w:val="ro-RO"/>
              </w:rPr>
            </w:pPr>
            <w:r>
              <w:rPr>
                <w:rFonts w:ascii="Times New Roman" w:hAnsi="Times New Roman" w:cs="Times New Roman"/>
                <w:sz w:val="20"/>
                <w:szCs w:val="20"/>
              </w:rPr>
              <w:t>Cu referire la Tabelul de concordanță, se recomandă asigurarea coerenței trimiterilor normative. Cu titlu de exemplu, observăm că noțiunea „filială” este definită în sensul Legii contabilității și raportării financiare nr. 287/2017, în timp ce la secțiunea „observații”, se indică faptul că aceasta este redată prin trimitere la Legea nr. 202/2017 privind activitatea băncilor. Similar, a se vedea redacția noțiunii „entitate-mamă”.</w:t>
            </w:r>
          </w:p>
        </w:tc>
        <w:tc>
          <w:tcPr>
            <w:tcW w:w="1273" w:type="pct"/>
            <w:tcMar>
              <w:top w:w="24" w:type="dxa"/>
              <w:left w:w="48" w:type="dxa"/>
              <w:bottom w:w="24" w:type="dxa"/>
              <w:right w:w="48" w:type="dxa"/>
            </w:tcMar>
            <w:vAlign w:val="center"/>
          </w:tcPr>
          <w:p w14:paraId="5A1AD63B" w14:textId="77777777" w:rsidR="008F2120" w:rsidRPr="003A6C26" w:rsidRDefault="008F2120" w:rsidP="008F2120">
            <w:pPr>
              <w:spacing w:after="0" w:line="240" w:lineRule="auto"/>
              <w:jc w:val="both"/>
              <w:rPr>
                <w:rFonts w:ascii="Times New Roman" w:eastAsia="Times New Roman" w:hAnsi="Times New Roman" w:cs="Times New Roman"/>
                <w:b/>
                <w:sz w:val="20"/>
                <w:szCs w:val="20"/>
                <w:lang w:val="ro-RO" w:eastAsia="ro-RO"/>
              </w:rPr>
            </w:pPr>
            <w:r>
              <w:rPr>
                <w:rFonts w:ascii="Times New Roman" w:eastAsia="Times New Roman" w:hAnsi="Times New Roman" w:cs="Times New Roman"/>
                <w:b/>
                <w:sz w:val="20"/>
                <w:szCs w:val="20"/>
                <w:lang w:val="ro-RO" w:eastAsia="ro-RO"/>
              </w:rPr>
              <w:t xml:space="preserve">Se ia act </w:t>
            </w:r>
          </w:p>
          <w:p w14:paraId="52996BFA" w14:textId="77777777" w:rsidR="008F2120" w:rsidRDefault="008F2120" w:rsidP="008F2120">
            <w:pPr>
              <w:spacing w:after="0" w:line="240" w:lineRule="auto"/>
              <w:jc w:val="both"/>
              <w:rPr>
                <w:rFonts w:ascii="Times New Roman" w:hAnsi="Times New Roman" w:cs="Times New Roman"/>
                <w:b/>
                <w:bCs/>
                <w:sz w:val="20"/>
                <w:szCs w:val="20"/>
              </w:rPr>
            </w:pPr>
          </w:p>
        </w:tc>
      </w:tr>
      <w:tr w:rsidR="008F2120" w:rsidRPr="00104D47" w14:paraId="4FCE3037" w14:textId="77777777" w:rsidTr="000B07F2">
        <w:trPr>
          <w:jc w:val="center"/>
        </w:trPr>
        <w:tc>
          <w:tcPr>
            <w:tcW w:w="1197" w:type="pct"/>
            <w:tcMar>
              <w:top w:w="24" w:type="dxa"/>
              <w:left w:w="48" w:type="dxa"/>
              <w:bottom w:w="24" w:type="dxa"/>
              <w:right w:w="48" w:type="dxa"/>
            </w:tcMar>
            <w:vAlign w:val="center"/>
          </w:tcPr>
          <w:p w14:paraId="669365A5" w14:textId="77777777" w:rsidR="008F2120" w:rsidRPr="00334E7D" w:rsidRDefault="008F2120" w:rsidP="008F2120">
            <w:pPr>
              <w:spacing w:after="0" w:line="240" w:lineRule="auto"/>
              <w:rPr>
                <w:rFonts w:ascii="Times New Roman" w:eastAsia="Times New Roman" w:hAnsi="Times New Roman" w:cs="Times New Roman"/>
                <w:b/>
                <w:lang w:eastAsia="ro-RO"/>
              </w:rPr>
            </w:pPr>
          </w:p>
        </w:tc>
        <w:tc>
          <w:tcPr>
            <w:tcW w:w="599" w:type="pct"/>
            <w:tcMar>
              <w:top w:w="24" w:type="dxa"/>
              <w:left w:w="48" w:type="dxa"/>
              <w:bottom w:w="24" w:type="dxa"/>
              <w:right w:w="48" w:type="dxa"/>
            </w:tcMar>
            <w:vAlign w:val="center"/>
          </w:tcPr>
          <w:p w14:paraId="3FAF4F0C"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Energiei</w:t>
            </w:r>
          </w:p>
          <w:p w14:paraId="43784C9C" w14:textId="77777777" w:rsidR="00552351" w:rsidRPr="00074208" w:rsidRDefault="00552351" w:rsidP="008F212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w:t>
            </w:r>
            <w:r w:rsidRPr="00552351">
              <w:rPr>
                <w:rFonts w:ascii="Times New Roman" w:eastAsia="Times New Roman" w:hAnsi="Times New Roman" w:cs="Times New Roman"/>
                <w:sz w:val="20"/>
                <w:szCs w:val="20"/>
                <w:lang w:eastAsia="ro-RO"/>
              </w:rPr>
              <w:t>avizul nr.07-1147 din 07.05.2026</w:t>
            </w:r>
            <w:r>
              <w:rPr>
                <w:rFonts w:ascii="Times New Roman" w:eastAsia="Times New Roman" w:hAnsi="Times New Roman" w:cs="Times New Roman"/>
                <w:sz w:val="20"/>
                <w:szCs w:val="20"/>
                <w:lang w:eastAsia="ro-RO"/>
              </w:rPr>
              <w:t>)</w:t>
            </w:r>
          </w:p>
        </w:tc>
        <w:tc>
          <w:tcPr>
            <w:tcW w:w="184" w:type="pct"/>
            <w:tcMar>
              <w:top w:w="24" w:type="dxa"/>
              <w:left w:w="48" w:type="dxa"/>
              <w:bottom w:w="24" w:type="dxa"/>
              <w:right w:w="48" w:type="dxa"/>
            </w:tcMar>
            <w:vAlign w:val="center"/>
          </w:tcPr>
          <w:p w14:paraId="791FE0EC" w14:textId="77777777" w:rsidR="008F2120" w:rsidRPr="00B2592D" w:rsidRDefault="00AF3EDD" w:rsidP="008F2120">
            <w:pPr>
              <w:spacing w:after="0" w:line="240" w:lineRule="auto"/>
              <w:jc w:val="center"/>
              <w:rPr>
                <w:rFonts w:ascii="Times New Roman" w:eastAsia="Times New Roman" w:hAnsi="Times New Roman" w:cs="Times New Roman"/>
                <w:b/>
                <w:bCs/>
                <w:sz w:val="20"/>
                <w:szCs w:val="20"/>
                <w:highlight w:val="yellow"/>
                <w:lang w:eastAsia="ro-RO"/>
              </w:rPr>
            </w:pPr>
            <w:r>
              <w:rPr>
                <w:rFonts w:ascii="Times New Roman" w:eastAsia="Times New Roman" w:hAnsi="Times New Roman" w:cs="Times New Roman"/>
                <w:b/>
                <w:bCs/>
                <w:sz w:val="20"/>
                <w:szCs w:val="20"/>
                <w:lang w:eastAsia="ro-RO"/>
              </w:rPr>
              <w:t>44</w:t>
            </w:r>
          </w:p>
        </w:tc>
        <w:tc>
          <w:tcPr>
            <w:tcW w:w="1747" w:type="pct"/>
            <w:tcMar>
              <w:top w:w="24" w:type="dxa"/>
              <w:left w:w="48" w:type="dxa"/>
              <w:bottom w:w="24" w:type="dxa"/>
              <w:right w:w="48" w:type="dxa"/>
            </w:tcMar>
            <w:vAlign w:val="center"/>
          </w:tcPr>
          <w:p w14:paraId="5704BF49" w14:textId="77777777" w:rsidR="008F2120" w:rsidRPr="00C936B6" w:rsidRDefault="008F2120" w:rsidP="008F2120">
            <w:pPr>
              <w:spacing w:after="0" w:line="240" w:lineRule="auto"/>
              <w:ind w:right="98"/>
              <w:jc w:val="both"/>
              <w:rPr>
                <w:rFonts w:ascii="Times New Roman" w:hAnsi="Times New Roman" w:cs="Times New Roman"/>
                <w:color w:val="000000"/>
                <w:highlight w:val="yellow"/>
              </w:rPr>
            </w:pPr>
            <w:r>
              <w:rPr>
                <w:rFonts w:ascii="Times New Roman" w:hAnsi="Times New Roman" w:cs="Times New Roman"/>
                <w:sz w:val="20"/>
                <w:szCs w:val="20"/>
              </w:rPr>
              <w:t xml:space="preserve">Lipsă de obiecții </w:t>
            </w:r>
            <w:r w:rsidR="00552351">
              <w:rPr>
                <w:rFonts w:ascii="Times New Roman" w:hAnsi="Times New Roman" w:cs="Times New Roman"/>
                <w:sz w:val="20"/>
                <w:szCs w:val="20"/>
              </w:rPr>
              <w:t>și propuneri</w:t>
            </w:r>
          </w:p>
        </w:tc>
        <w:tc>
          <w:tcPr>
            <w:tcW w:w="1273" w:type="pct"/>
            <w:tcMar>
              <w:top w:w="24" w:type="dxa"/>
              <w:left w:w="48" w:type="dxa"/>
              <w:bottom w:w="24" w:type="dxa"/>
              <w:right w:w="48" w:type="dxa"/>
            </w:tcMar>
            <w:vAlign w:val="center"/>
          </w:tcPr>
          <w:p w14:paraId="6C2B2F9B" w14:textId="77777777" w:rsidR="008F2120" w:rsidRPr="00104D47" w:rsidRDefault="008F2120" w:rsidP="008F2120">
            <w:pPr>
              <w:spacing w:after="0" w:line="240" w:lineRule="auto"/>
              <w:jc w:val="both"/>
              <w:rPr>
                <w:rFonts w:ascii="Times New Roman" w:hAnsi="Times New Roman" w:cs="Times New Roman"/>
                <w:highlight w:val="yellow"/>
              </w:rPr>
            </w:pPr>
          </w:p>
        </w:tc>
      </w:tr>
      <w:tr w:rsidR="008F2120" w:rsidRPr="00104D47" w14:paraId="2756D938" w14:textId="77777777" w:rsidTr="000B07F2">
        <w:trPr>
          <w:jc w:val="center"/>
        </w:trPr>
        <w:tc>
          <w:tcPr>
            <w:tcW w:w="1197" w:type="pct"/>
            <w:tcMar>
              <w:top w:w="24" w:type="dxa"/>
              <w:left w:w="48" w:type="dxa"/>
              <w:bottom w:w="24" w:type="dxa"/>
              <w:right w:w="48" w:type="dxa"/>
            </w:tcMar>
            <w:vAlign w:val="center"/>
          </w:tcPr>
          <w:p w14:paraId="341C7ED4" w14:textId="77777777" w:rsidR="008F2120" w:rsidRPr="00334E7D" w:rsidRDefault="008F2120" w:rsidP="008F2120">
            <w:pPr>
              <w:spacing w:after="0" w:line="240" w:lineRule="auto"/>
              <w:rPr>
                <w:rFonts w:ascii="Times New Roman" w:eastAsia="Times New Roman" w:hAnsi="Times New Roman" w:cs="Times New Roman"/>
                <w:b/>
                <w:lang w:eastAsia="ro-RO"/>
              </w:rPr>
            </w:pPr>
          </w:p>
        </w:tc>
        <w:tc>
          <w:tcPr>
            <w:tcW w:w="599" w:type="pct"/>
            <w:tcMar>
              <w:top w:w="24" w:type="dxa"/>
              <w:left w:w="48" w:type="dxa"/>
              <w:bottom w:w="24" w:type="dxa"/>
              <w:right w:w="48" w:type="dxa"/>
            </w:tcMar>
            <w:vAlign w:val="center"/>
          </w:tcPr>
          <w:p w14:paraId="443A647B"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Ministerul Dezvoltării Economice și Digitalizării </w:t>
            </w:r>
          </w:p>
          <w:p w14:paraId="0F2D97E1" w14:textId="77777777" w:rsidR="00552351" w:rsidRPr="00074208" w:rsidRDefault="00552351" w:rsidP="008F212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w:t>
            </w:r>
            <w:r w:rsidRPr="00552351">
              <w:rPr>
                <w:rFonts w:ascii="Times New Roman" w:eastAsia="Times New Roman" w:hAnsi="Times New Roman" w:cs="Times New Roman"/>
                <w:sz w:val="20"/>
                <w:szCs w:val="20"/>
                <w:lang w:eastAsia="ro-RO"/>
              </w:rPr>
              <w:t>avizul nr.03-1584 din 11.05.2026</w:t>
            </w:r>
            <w:r>
              <w:rPr>
                <w:rFonts w:ascii="Times New Roman" w:eastAsia="Times New Roman" w:hAnsi="Times New Roman" w:cs="Times New Roman"/>
                <w:sz w:val="20"/>
                <w:szCs w:val="20"/>
                <w:lang w:eastAsia="ro-RO"/>
              </w:rPr>
              <w:t>)</w:t>
            </w:r>
          </w:p>
        </w:tc>
        <w:tc>
          <w:tcPr>
            <w:tcW w:w="184" w:type="pct"/>
            <w:tcMar>
              <w:top w:w="24" w:type="dxa"/>
              <w:left w:w="48" w:type="dxa"/>
              <w:bottom w:w="24" w:type="dxa"/>
              <w:right w:w="48" w:type="dxa"/>
            </w:tcMar>
            <w:vAlign w:val="center"/>
          </w:tcPr>
          <w:p w14:paraId="63285A5E" w14:textId="77777777" w:rsidR="008F2120" w:rsidRPr="00C936B6"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45</w:t>
            </w:r>
          </w:p>
        </w:tc>
        <w:tc>
          <w:tcPr>
            <w:tcW w:w="1747" w:type="pct"/>
            <w:tcMar>
              <w:top w:w="24" w:type="dxa"/>
              <w:left w:w="48" w:type="dxa"/>
              <w:bottom w:w="24" w:type="dxa"/>
              <w:right w:w="48" w:type="dxa"/>
            </w:tcMar>
            <w:vAlign w:val="center"/>
          </w:tcPr>
          <w:p w14:paraId="1E1FBADE" w14:textId="77777777" w:rsidR="008F2120" w:rsidRPr="00C936B6" w:rsidRDefault="008F2120" w:rsidP="008F2120">
            <w:pPr>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 xml:space="preserve">Lipsă de obiecții </w:t>
            </w:r>
            <w:r w:rsidR="00552351">
              <w:rPr>
                <w:rFonts w:ascii="Times New Roman" w:hAnsi="Times New Roman" w:cs="Times New Roman"/>
                <w:sz w:val="20"/>
                <w:szCs w:val="20"/>
              </w:rPr>
              <w:t>și propuneri</w:t>
            </w:r>
          </w:p>
        </w:tc>
        <w:tc>
          <w:tcPr>
            <w:tcW w:w="1273" w:type="pct"/>
            <w:tcMar>
              <w:top w:w="24" w:type="dxa"/>
              <w:left w:w="48" w:type="dxa"/>
              <w:bottom w:w="24" w:type="dxa"/>
              <w:right w:w="48" w:type="dxa"/>
            </w:tcMar>
            <w:vAlign w:val="center"/>
          </w:tcPr>
          <w:p w14:paraId="42508DA5" w14:textId="77777777" w:rsidR="008F2120" w:rsidRPr="00C936B6" w:rsidRDefault="008F2120" w:rsidP="008F2120">
            <w:pPr>
              <w:spacing w:after="0" w:line="240" w:lineRule="auto"/>
              <w:jc w:val="both"/>
              <w:rPr>
                <w:rFonts w:ascii="Times New Roman" w:eastAsia="Times New Roman" w:hAnsi="Times New Roman" w:cs="Times New Roman"/>
                <w:b/>
                <w:bCs/>
                <w:sz w:val="20"/>
                <w:szCs w:val="20"/>
                <w:lang w:val="ro-RO" w:eastAsia="ro-RO"/>
              </w:rPr>
            </w:pPr>
          </w:p>
        </w:tc>
      </w:tr>
      <w:tr w:rsidR="008F2120" w:rsidRPr="00104D47" w14:paraId="5D801C51" w14:textId="77777777" w:rsidTr="000B07F2">
        <w:trPr>
          <w:jc w:val="center"/>
        </w:trPr>
        <w:tc>
          <w:tcPr>
            <w:tcW w:w="1197" w:type="pct"/>
            <w:tcMar>
              <w:top w:w="24" w:type="dxa"/>
              <w:left w:w="48" w:type="dxa"/>
              <w:bottom w:w="24" w:type="dxa"/>
              <w:right w:w="48" w:type="dxa"/>
            </w:tcMar>
            <w:vAlign w:val="center"/>
          </w:tcPr>
          <w:p w14:paraId="49D810DC" w14:textId="77777777" w:rsidR="008F2120" w:rsidRPr="00334E7D" w:rsidRDefault="008F2120" w:rsidP="008F2120">
            <w:pPr>
              <w:spacing w:after="0" w:line="240" w:lineRule="auto"/>
              <w:rPr>
                <w:rFonts w:ascii="Times New Roman" w:eastAsia="Times New Roman" w:hAnsi="Times New Roman" w:cs="Times New Roman"/>
                <w:b/>
                <w:lang w:eastAsia="ro-RO"/>
              </w:rPr>
            </w:pPr>
          </w:p>
        </w:tc>
        <w:tc>
          <w:tcPr>
            <w:tcW w:w="599" w:type="pct"/>
            <w:tcMar>
              <w:top w:w="24" w:type="dxa"/>
              <w:left w:w="48" w:type="dxa"/>
              <w:bottom w:w="24" w:type="dxa"/>
              <w:right w:w="48" w:type="dxa"/>
            </w:tcMar>
            <w:vAlign w:val="center"/>
          </w:tcPr>
          <w:p w14:paraId="010BA7C2" w14:textId="77777777" w:rsidR="008F2120" w:rsidRDefault="008F2120" w:rsidP="008F2120">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Depozitarul Central Unic al Valorilor Mobiliare</w:t>
            </w:r>
          </w:p>
          <w:p w14:paraId="372F7D2B" w14:textId="77777777" w:rsidR="00552351" w:rsidRPr="00984273" w:rsidRDefault="00552351" w:rsidP="008F212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w:t>
            </w:r>
            <w:r w:rsidRPr="00552351">
              <w:rPr>
                <w:rFonts w:ascii="Times New Roman" w:eastAsia="Times New Roman" w:hAnsi="Times New Roman" w:cs="Times New Roman"/>
                <w:sz w:val="20"/>
                <w:szCs w:val="20"/>
                <w:lang w:eastAsia="ro-RO"/>
              </w:rPr>
              <w:t>avizul nr.02/300 din 19.05.2026</w:t>
            </w:r>
            <w:r>
              <w:rPr>
                <w:rFonts w:ascii="Times New Roman" w:eastAsia="Times New Roman" w:hAnsi="Times New Roman" w:cs="Times New Roman"/>
                <w:sz w:val="20"/>
                <w:szCs w:val="20"/>
                <w:lang w:eastAsia="ro-RO"/>
              </w:rPr>
              <w:t>)</w:t>
            </w:r>
          </w:p>
        </w:tc>
        <w:tc>
          <w:tcPr>
            <w:tcW w:w="184" w:type="pct"/>
            <w:tcMar>
              <w:top w:w="24" w:type="dxa"/>
              <w:left w:w="48" w:type="dxa"/>
              <w:bottom w:w="24" w:type="dxa"/>
              <w:right w:w="48" w:type="dxa"/>
            </w:tcMar>
            <w:vAlign w:val="center"/>
          </w:tcPr>
          <w:p w14:paraId="33E19D3C" w14:textId="77777777" w:rsidR="008F2120" w:rsidRPr="00C936B6" w:rsidRDefault="00AF3EDD"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46</w:t>
            </w:r>
          </w:p>
        </w:tc>
        <w:tc>
          <w:tcPr>
            <w:tcW w:w="1747" w:type="pct"/>
            <w:tcMar>
              <w:top w:w="24" w:type="dxa"/>
              <w:left w:w="48" w:type="dxa"/>
              <w:bottom w:w="24" w:type="dxa"/>
              <w:right w:w="48" w:type="dxa"/>
            </w:tcMar>
            <w:vAlign w:val="center"/>
          </w:tcPr>
          <w:p w14:paraId="7159D817" w14:textId="77777777" w:rsidR="008F2120" w:rsidRPr="00C936B6" w:rsidRDefault="008F2120" w:rsidP="008F2120">
            <w:pPr>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 xml:space="preserve">Lipsă de obiecții </w:t>
            </w:r>
            <w:r w:rsidR="00552351">
              <w:rPr>
                <w:rFonts w:ascii="Times New Roman" w:hAnsi="Times New Roman" w:cs="Times New Roman"/>
                <w:sz w:val="20"/>
                <w:szCs w:val="20"/>
              </w:rPr>
              <w:t>și propuneri</w:t>
            </w:r>
          </w:p>
        </w:tc>
        <w:tc>
          <w:tcPr>
            <w:tcW w:w="1273" w:type="pct"/>
            <w:tcMar>
              <w:top w:w="24" w:type="dxa"/>
              <w:left w:w="48" w:type="dxa"/>
              <w:bottom w:w="24" w:type="dxa"/>
              <w:right w:w="48" w:type="dxa"/>
            </w:tcMar>
            <w:vAlign w:val="center"/>
          </w:tcPr>
          <w:p w14:paraId="1EC3EDA2" w14:textId="77777777" w:rsidR="008F2120" w:rsidRPr="00C936B6" w:rsidRDefault="008F2120" w:rsidP="008F2120">
            <w:pPr>
              <w:spacing w:after="0" w:line="240" w:lineRule="auto"/>
              <w:jc w:val="both"/>
              <w:rPr>
                <w:rFonts w:ascii="Times New Roman" w:eastAsia="Times New Roman" w:hAnsi="Times New Roman" w:cs="Times New Roman"/>
                <w:b/>
                <w:bCs/>
                <w:sz w:val="20"/>
                <w:szCs w:val="20"/>
                <w:lang w:val="ro-RO" w:eastAsia="ro-RO"/>
              </w:rPr>
            </w:pPr>
          </w:p>
        </w:tc>
      </w:tr>
      <w:tr w:rsidR="00B1456F" w:rsidRPr="00104D47" w14:paraId="58C1BE11" w14:textId="77777777" w:rsidTr="000B07F2">
        <w:trPr>
          <w:jc w:val="center"/>
        </w:trPr>
        <w:tc>
          <w:tcPr>
            <w:tcW w:w="1197" w:type="pct"/>
            <w:vMerge w:val="restart"/>
            <w:tcMar>
              <w:top w:w="24" w:type="dxa"/>
              <w:left w:w="48" w:type="dxa"/>
              <w:bottom w:w="24" w:type="dxa"/>
              <w:right w:w="48" w:type="dxa"/>
            </w:tcMar>
            <w:vAlign w:val="center"/>
          </w:tcPr>
          <w:p w14:paraId="16CB3FAC" w14:textId="77777777" w:rsidR="00B1456F" w:rsidRPr="00334E7D" w:rsidRDefault="00B1456F" w:rsidP="008F2120">
            <w:pPr>
              <w:spacing w:after="0" w:line="240" w:lineRule="auto"/>
              <w:rPr>
                <w:rFonts w:ascii="Times New Roman" w:eastAsia="Times New Roman" w:hAnsi="Times New Roman" w:cs="Times New Roman"/>
                <w:b/>
                <w:lang w:eastAsia="ro-RO"/>
              </w:rPr>
            </w:pPr>
          </w:p>
        </w:tc>
        <w:tc>
          <w:tcPr>
            <w:tcW w:w="599" w:type="pct"/>
            <w:vMerge w:val="restart"/>
            <w:tcMar>
              <w:top w:w="24" w:type="dxa"/>
              <w:left w:w="48" w:type="dxa"/>
              <w:bottom w:w="24" w:type="dxa"/>
              <w:right w:w="48" w:type="dxa"/>
            </w:tcMar>
            <w:vAlign w:val="center"/>
          </w:tcPr>
          <w:p w14:paraId="0E5660B6" w14:textId="77777777" w:rsidR="00B1456F" w:rsidRDefault="00B1456F" w:rsidP="008F212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Centrul Național pentru Protecția Datelor cu Caracter Personal al Republicii Moldova</w:t>
            </w:r>
          </w:p>
          <w:p w14:paraId="22C8D493" w14:textId="77777777" w:rsidR="00B1456F" w:rsidRPr="00984273" w:rsidRDefault="00B1456F" w:rsidP="008F2120">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nr.04-01/1795 din 20.05.2026)</w:t>
            </w:r>
          </w:p>
        </w:tc>
        <w:tc>
          <w:tcPr>
            <w:tcW w:w="184" w:type="pct"/>
            <w:vMerge w:val="restart"/>
            <w:tcMar>
              <w:top w:w="24" w:type="dxa"/>
              <w:left w:w="48" w:type="dxa"/>
              <w:bottom w:w="24" w:type="dxa"/>
              <w:right w:w="48" w:type="dxa"/>
            </w:tcMar>
            <w:vAlign w:val="center"/>
          </w:tcPr>
          <w:p w14:paraId="0D8FD68F" w14:textId="508F3BBE" w:rsidR="00B1456F" w:rsidRPr="00C936B6" w:rsidRDefault="00B1456F" w:rsidP="008F2120">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47</w:t>
            </w:r>
          </w:p>
        </w:tc>
        <w:tc>
          <w:tcPr>
            <w:tcW w:w="1747" w:type="pct"/>
            <w:tcMar>
              <w:top w:w="24" w:type="dxa"/>
              <w:left w:w="48" w:type="dxa"/>
              <w:bottom w:w="24" w:type="dxa"/>
              <w:right w:w="48" w:type="dxa"/>
            </w:tcMar>
            <w:vAlign w:val="center"/>
          </w:tcPr>
          <w:p w14:paraId="6226E68B" w14:textId="77777777" w:rsidR="00B1456F" w:rsidRPr="00C936B6" w:rsidRDefault="00B1456F" w:rsidP="008F2120">
            <w:pPr>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Lipsă de obiecții și propuneri</w:t>
            </w:r>
          </w:p>
        </w:tc>
        <w:tc>
          <w:tcPr>
            <w:tcW w:w="1273" w:type="pct"/>
            <w:tcMar>
              <w:top w:w="24" w:type="dxa"/>
              <w:left w:w="48" w:type="dxa"/>
              <w:bottom w:w="24" w:type="dxa"/>
              <w:right w:w="48" w:type="dxa"/>
            </w:tcMar>
            <w:vAlign w:val="center"/>
          </w:tcPr>
          <w:p w14:paraId="09673DFD" w14:textId="77777777" w:rsidR="00B1456F" w:rsidRPr="00C936B6" w:rsidRDefault="00B1456F" w:rsidP="008F2120">
            <w:pPr>
              <w:spacing w:after="0" w:line="240" w:lineRule="auto"/>
              <w:jc w:val="both"/>
              <w:rPr>
                <w:rFonts w:ascii="Times New Roman" w:eastAsia="Times New Roman" w:hAnsi="Times New Roman" w:cs="Times New Roman"/>
                <w:b/>
                <w:bCs/>
                <w:sz w:val="20"/>
                <w:szCs w:val="20"/>
                <w:lang w:val="ro-RO" w:eastAsia="ro-RO"/>
              </w:rPr>
            </w:pPr>
          </w:p>
        </w:tc>
      </w:tr>
      <w:tr w:rsidR="00B1456F" w:rsidRPr="00104D47" w14:paraId="6EC4E601" w14:textId="77777777" w:rsidTr="000B07F2">
        <w:trPr>
          <w:jc w:val="center"/>
        </w:trPr>
        <w:tc>
          <w:tcPr>
            <w:tcW w:w="1197" w:type="pct"/>
            <w:vMerge/>
            <w:tcMar>
              <w:top w:w="24" w:type="dxa"/>
              <w:left w:w="48" w:type="dxa"/>
              <w:bottom w:w="24" w:type="dxa"/>
              <w:right w:w="48" w:type="dxa"/>
            </w:tcMar>
            <w:vAlign w:val="center"/>
          </w:tcPr>
          <w:p w14:paraId="1BA583FF" w14:textId="77777777" w:rsidR="00B1456F" w:rsidRPr="00334E7D" w:rsidRDefault="00B1456F" w:rsidP="008F2120">
            <w:pPr>
              <w:spacing w:after="0" w:line="240" w:lineRule="auto"/>
              <w:rPr>
                <w:rFonts w:ascii="Times New Roman" w:eastAsia="Times New Roman" w:hAnsi="Times New Roman" w:cs="Times New Roman"/>
                <w:b/>
                <w:lang w:eastAsia="ro-RO"/>
              </w:rPr>
            </w:pPr>
          </w:p>
        </w:tc>
        <w:tc>
          <w:tcPr>
            <w:tcW w:w="599" w:type="pct"/>
            <w:vMerge/>
            <w:tcMar>
              <w:top w:w="24" w:type="dxa"/>
              <w:left w:w="48" w:type="dxa"/>
              <w:bottom w:w="24" w:type="dxa"/>
              <w:right w:w="48" w:type="dxa"/>
            </w:tcMar>
            <w:vAlign w:val="center"/>
          </w:tcPr>
          <w:p w14:paraId="37C57DBE" w14:textId="77777777" w:rsidR="00B1456F" w:rsidRPr="00C936B6" w:rsidRDefault="00B1456F" w:rsidP="008F2120">
            <w:pPr>
              <w:spacing w:after="0" w:line="240" w:lineRule="auto"/>
              <w:rPr>
                <w:rFonts w:ascii="Times New Roman" w:eastAsia="Times New Roman" w:hAnsi="Times New Roman" w:cs="Times New Roman"/>
                <w:b/>
                <w:bCs/>
                <w:sz w:val="20"/>
                <w:szCs w:val="20"/>
                <w:lang w:eastAsia="ro-RO"/>
              </w:rPr>
            </w:pPr>
          </w:p>
        </w:tc>
        <w:tc>
          <w:tcPr>
            <w:tcW w:w="184" w:type="pct"/>
            <w:vMerge/>
            <w:tcMar>
              <w:top w:w="24" w:type="dxa"/>
              <w:left w:w="48" w:type="dxa"/>
              <w:bottom w:w="24" w:type="dxa"/>
              <w:right w:w="48" w:type="dxa"/>
            </w:tcMar>
            <w:vAlign w:val="center"/>
          </w:tcPr>
          <w:p w14:paraId="2E75AD07" w14:textId="71637AA2" w:rsidR="00B1456F" w:rsidRPr="00C936B6" w:rsidRDefault="00B1456F" w:rsidP="008F2120">
            <w:pPr>
              <w:spacing w:after="0" w:line="240" w:lineRule="auto"/>
              <w:jc w:val="center"/>
              <w:rPr>
                <w:rFonts w:ascii="Times New Roman" w:eastAsia="Times New Roman" w:hAnsi="Times New Roman" w:cs="Times New Roman"/>
                <w:b/>
                <w:bCs/>
                <w:sz w:val="20"/>
                <w:szCs w:val="20"/>
                <w:lang w:eastAsia="ro-RO"/>
              </w:rPr>
            </w:pPr>
          </w:p>
        </w:tc>
        <w:tc>
          <w:tcPr>
            <w:tcW w:w="1747" w:type="pct"/>
            <w:tcMar>
              <w:top w:w="24" w:type="dxa"/>
              <w:left w:w="48" w:type="dxa"/>
              <w:bottom w:w="24" w:type="dxa"/>
              <w:right w:w="48" w:type="dxa"/>
            </w:tcMar>
            <w:vAlign w:val="center"/>
          </w:tcPr>
          <w:p w14:paraId="737BB890" w14:textId="77777777" w:rsidR="00B1456F" w:rsidRPr="00D733D6" w:rsidRDefault="00B1456F" w:rsidP="008F2120">
            <w:pPr>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Totodată, cu titlu informativ, comunicăm că a fost instituită obligația operatorului de date cu caracter personal de a efectua evaluarea impactului asupra protecției datelor cu caracter personal, în cazul în care prelucrarea datelor poate genera un risc sporit pentru drepturile și libertățile persoanelor.</w:t>
            </w:r>
          </w:p>
          <w:p w14:paraId="6C64500A" w14:textId="77777777" w:rsidR="00B1456F" w:rsidRPr="00C936B6" w:rsidRDefault="00B1456F" w:rsidP="008F2120">
            <w:pPr>
              <w:spacing w:after="0" w:line="240" w:lineRule="auto"/>
              <w:ind w:right="98"/>
              <w:jc w:val="both"/>
              <w:rPr>
                <w:rFonts w:ascii="Times New Roman" w:hAnsi="Times New Roman" w:cs="Times New Roman"/>
                <w:sz w:val="20"/>
                <w:szCs w:val="20"/>
              </w:rPr>
            </w:pPr>
            <w:r>
              <w:rPr>
                <w:rFonts w:ascii="Times New Roman" w:hAnsi="Times New Roman" w:cs="Times New Roman"/>
                <w:sz w:val="20"/>
                <w:szCs w:val="20"/>
              </w:rPr>
              <w:t>Astfel, ținând cont de prevederile Legii privind protecția datelor cu caracter personal, în cazul în care, tipurile de prelucrare a datelor cu caracter personal, reglementate prin actul normativ prenotat sunt susceptibile să genereze un risc sporit pentru drepturile și libertățile persoanelor, reieșind cel puțin din faptul prelucrării la scară largă a datelor cu caracter personal, este necesară efectuarea evaluării impactului asupra prelucrării datelor cu caracter personal, în contextul adoptării respectivului act normativ. Mai mult, urmează a se ține cont de măsurile organizatorice și tehnice necesare a fi instituite pentru asigurarea securității și confidențialității datelor cu caracter personal (în privința transmiterii transfrontaliere de date cu caracter personal).</w:t>
            </w:r>
          </w:p>
        </w:tc>
        <w:tc>
          <w:tcPr>
            <w:tcW w:w="1273" w:type="pct"/>
            <w:tcMar>
              <w:top w:w="24" w:type="dxa"/>
              <w:left w:w="48" w:type="dxa"/>
              <w:bottom w:w="24" w:type="dxa"/>
              <w:right w:w="48" w:type="dxa"/>
            </w:tcMar>
            <w:vAlign w:val="center"/>
          </w:tcPr>
          <w:p w14:paraId="5F5F86D8" w14:textId="77777777" w:rsidR="00B1456F" w:rsidRPr="00C936B6" w:rsidRDefault="00B1456F" w:rsidP="008F2120">
            <w:pPr>
              <w:spacing w:after="0" w:line="240" w:lineRule="auto"/>
              <w:jc w:val="both"/>
              <w:rPr>
                <w:rFonts w:ascii="Times New Roman" w:eastAsia="Times New Roman" w:hAnsi="Times New Roman" w:cs="Times New Roman"/>
                <w:b/>
                <w:bCs/>
                <w:sz w:val="20"/>
                <w:szCs w:val="20"/>
                <w:lang w:val="ro-RO" w:eastAsia="ro-RO"/>
              </w:rPr>
            </w:pPr>
          </w:p>
        </w:tc>
      </w:tr>
    </w:tbl>
    <w:p w14:paraId="12B8B6E4" w14:textId="77777777" w:rsidR="006777DA" w:rsidRDefault="006777DA">
      <w:r>
        <w:br w:type="page"/>
      </w:r>
    </w:p>
    <w:tbl>
      <w:tblPr>
        <w:tblW w:w="4906" w:type="pct"/>
        <w:jc w:val="center"/>
        <w:tblCellMar>
          <w:top w:w="15" w:type="dxa"/>
          <w:left w:w="15" w:type="dxa"/>
          <w:bottom w:w="15" w:type="dxa"/>
          <w:right w:w="15" w:type="dxa"/>
        </w:tblCellMar>
        <w:tblLook w:val="04A0" w:firstRow="1" w:lastRow="0" w:firstColumn="1" w:lastColumn="0" w:noHBand="0" w:noVBand="1"/>
      </w:tblPr>
      <w:tblGrid>
        <w:gridCol w:w="3686"/>
        <w:gridCol w:w="1844"/>
        <w:gridCol w:w="566"/>
        <w:gridCol w:w="5529"/>
        <w:gridCol w:w="3768"/>
      </w:tblGrid>
      <w:tr w:rsidR="00E8146F" w:rsidRPr="00B64824" w14:paraId="66374502" w14:textId="77777777" w:rsidTr="00C74CE6">
        <w:trPr>
          <w:tblHeader/>
          <w:jc w:val="center"/>
        </w:trPr>
        <w:tc>
          <w:tcPr>
            <w:tcW w:w="119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4D0C7D" w14:textId="77777777" w:rsidR="00E8146F" w:rsidRPr="00B64824" w:rsidRDefault="00E8146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lastRenderedPageBreak/>
              <w:t>Conţinutul articolelor/punctelor din proiectul prezentat spre avizare şi coordonare</w:t>
            </w:r>
          </w:p>
        </w:tc>
        <w:tc>
          <w:tcPr>
            <w:tcW w:w="59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E4F213" w14:textId="77777777" w:rsidR="00E8146F" w:rsidRPr="00B64824" w:rsidRDefault="00E8146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Participantul la avizare, consultare publică, expertizare</w:t>
            </w:r>
          </w:p>
        </w:tc>
        <w:tc>
          <w:tcPr>
            <w:tcW w:w="18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27947F" w14:textId="77777777" w:rsidR="00E8146F" w:rsidRPr="00B64824" w:rsidRDefault="00E8146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Nr. crt.</w:t>
            </w:r>
          </w:p>
        </w:tc>
        <w:tc>
          <w:tcPr>
            <w:tcW w:w="179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78C4ED" w14:textId="77777777" w:rsidR="00E8146F" w:rsidRPr="00B64824" w:rsidRDefault="00E8146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Conţinutul obiecţiei, propunerii, recomandării, concluziei</w:t>
            </w:r>
          </w:p>
        </w:tc>
        <w:tc>
          <w:tcPr>
            <w:tcW w:w="122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276415" w14:textId="77777777" w:rsidR="00E8146F" w:rsidRPr="00B64824" w:rsidRDefault="00E8146F" w:rsidP="00C74CE6">
            <w:pPr>
              <w:spacing w:after="0" w:line="240" w:lineRule="auto"/>
              <w:jc w:val="center"/>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Argumentarea autorului proiectului</w:t>
            </w:r>
          </w:p>
        </w:tc>
      </w:tr>
      <w:tr w:rsidR="00E8146F" w:rsidRPr="003C7E0A" w14:paraId="6D101561" w14:textId="77777777" w:rsidTr="00C74CE6">
        <w:trPr>
          <w:trHeight w:val="80"/>
          <w:tblHeader/>
          <w:jc w:val="center"/>
        </w:trPr>
        <w:tc>
          <w:tcPr>
            <w:tcW w:w="5000" w:type="pct"/>
            <w:gridSpan w:val="5"/>
            <w:tcBorders>
              <w:top w:val="single" w:sz="6" w:space="0" w:color="000000"/>
              <w:left w:val="single" w:sz="6" w:space="0" w:color="000000"/>
              <w:bottom w:val="single" w:sz="4" w:space="0" w:color="auto"/>
              <w:right w:val="single" w:sz="6" w:space="0" w:color="000000"/>
            </w:tcBorders>
            <w:shd w:val="clear" w:color="auto" w:fill="D9D9D9" w:themeFill="background1" w:themeFillShade="D9"/>
            <w:tcMar>
              <w:top w:w="24" w:type="dxa"/>
              <w:left w:w="48" w:type="dxa"/>
              <w:bottom w:w="24" w:type="dxa"/>
              <w:right w:w="48" w:type="dxa"/>
            </w:tcMar>
            <w:vAlign w:val="center"/>
            <w:hideMark/>
          </w:tcPr>
          <w:p w14:paraId="715F38B9" w14:textId="77777777" w:rsidR="00E8146F" w:rsidRPr="005853A2" w:rsidRDefault="00616601" w:rsidP="00C74CE6">
            <w:pPr>
              <w:spacing w:after="0" w:line="240" w:lineRule="auto"/>
              <w:jc w:val="center"/>
              <w:rPr>
                <w:rFonts w:ascii="Times New Roman" w:eastAsia="Times New Roman" w:hAnsi="Times New Roman" w:cs="Times New Roman"/>
                <w:b/>
                <w:bCs/>
                <w:sz w:val="24"/>
                <w:szCs w:val="24"/>
                <w:lang w:val="ro-RO" w:eastAsia="ro-RO"/>
              </w:rPr>
            </w:pPr>
            <w:r w:rsidRPr="005853A2">
              <w:rPr>
                <w:rFonts w:ascii="Times New Roman" w:hAnsi="Times New Roman" w:cs="Times New Roman"/>
                <w:b/>
                <w:sz w:val="24"/>
                <w:szCs w:val="24"/>
              </w:rPr>
              <w:t>Expertizare</w:t>
            </w:r>
          </w:p>
        </w:tc>
      </w:tr>
      <w:tr w:rsidR="0063260B" w:rsidRPr="009B7C97" w14:paraId="080C7BBF"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113F7" w14:textId="77777777" w:rsidR="0063260B" w:rsidRPr="00C71263" w:rsidRDefault="0063260B" w:rsidP="0063260B">
            <w:pPr>
              <w:spacing w:after="0" w:line="240" w:lineRule="auto"/>
              <w:rPr>
                <w:rFonts w:ascii="Times New Roman" w:eastAsia="Times New Roman" w:hAnsi="Times New Roman" w:cs="Times New Roman"/>
                <w:b/>
                <w:iCs/>
                <w:sz w:val="20"/>
                <w:szCs w:val="20"/>
                <w:lang w:val="ro-RO" w:eastAsia="ro-RO"/>
              </w:rPr>
            </w:pP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7A999" w14:textId="77777777" w:rsidR="0063260B" w:rsidRPr="00984273" w:rsidRDefault="0063260B" w:rsidP="0063260B">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b/>
                <w:bCs/>
                <w:sz w:val="20"/>
                <w:szCs w:val="20"/>
                <w:lang w:eastAsia="ro-RO"/>
              </w:rPr>
              <w:t>Centrul de Armonizare a</w:t>
            </w:r>
            <w:r w:rsidR="000E66AE">
              <w:rPr>
                <w:rFonts w:ascii="Times New Roman" w:eastAsia="Times New Roman" w:hAnsi="Times New Roman" w:cs="Times New Roman"/>
                <w:b/>
                <w:bCs/>
                <w:sz w:val="20"/>
                <w:szCs w:val="20"/>
                <w:lang w:eastAsia="ro-RO"/>
              </w:rPr>
              <w:t xml:space="preserve"> </w:t>
            </w:r>
            <w:r>
              <w:rPr>
                <w:rFonts w:ascii="Times New Roman" w:eastAsia="Times New Roman" w:hAnsi="Times New Roman" w:cs="Times New Roman"/>
                <w:b/>
                <w:bCs/>
                <w:sz w:val="20"/>
                <w:szCs w:val="20"/>
                <w:lang w:eastAsia="ro-RO"/>
              </w:rPr>
              <w:t xml:space="preserve">Legislației </w:t>
            </w:r>
            <w:r>
              <w:rPr>
                <w:rFonts w:ascii="Times New Roman" w:eastAsia="Times New Roman" w:hAnsi="Times New Roman" w:cs="Times New Roman"/>
                <w:sz w:val="20"/>
                <w:szCs w:val="20"/>
                <w:lang w:eastAsia="ro-RO"/>
              </w:rPr>
              <w:t>(scrisoare nr.31/02-</w:t>
            </w:r>
          </w:p>
          <w:p w14:paraId="79721544" w14:textId="77777777" w:rsidR="0063260B" w:rsidRPr="00D851BE" w:rsidRDefault="0063260B" w:rsidP="0063260B">
            <w:pPr>
              <w:spacing w:after="0" w:line="240" w:lineRule="auto"/>
              <w:rPr>
                <w:rFonts w:ascii="Times New Roman" w:hAnsi="Times New Roman" w:cs="Times New Roman"/>
                <w:sz w:val="20"/>
                <w:szCs w:val="20"/>
                <w:lang w:val="ro-RO"/>
              </w:rPr>
            </w:pPr>
            <w:r>
              <w:rPr>
                <w:rFonts w:ascii="Times New Roman" w:eastAsia="Times New Roman" w:hAnsi="Times New Roman" w:cs="Times New Roman"/>
                <w:sz w:val="20"/>
                <w:szCs w:val="20"/>
                <w:lang w:eastAsia="ro-RO"/>
              </w:rPr>
              <w:t>126-5541 din 15.05.2026)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A6C4DF" w14:textId="77777777" w:rsidR="0063260B" w:rsidRPr="00F20207" w:rsidRDefault="0063260B"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B5988" w14:textId="77777777" w:rsidR="001829F5" w:rsidRDefault="0030706D">
            <w:pPr>
              <w:spacing w:after="0" w:line="240" w:lineRule="auto"/>
              <w:jc w:val="both"/>
            </w:pPr>
            <w:r w:rsidRPr="0030706D">
              <w:rPr>
                <w:rFonts w:ascii="Times New Roman" w:hAnsi="Times New Roman" w:cs="Times New Roman"/>
                <w:sz w:val="20"/>
                <w:szCs w:val="20"/>
                <w:lang w:val="ro-RO" w:eastAsia="ro-RO"/>
              </w:rPr>
              <w:t xml:space="preserve">În rezultatul evaluării gradului de transpunere a dispozițiilor </w:t>
            </w:r>
            <w:r w:rsidRPr="00992538">
              <w:rPr>
                <w:rFonts w:ascii="Times New Roman" w:hAnsi="Times New Roman" w:cs="Times New Roman"/>
                <w:b/>
                <w:bCs/>
                <w:sz w:val="20"/>
                <w:szCs w:val="20"/>
                <w:lang w:val="ro-RO" w:eastAsia="ro-RO"/>
              </w:rPr>
              <w:t>Directivei 2014/65/UE</w:t>
            </w:r>
            <w:r w:rsidRPr="0030706D">
              <w:rPr>
                <w:rFonts w:ascii="Times New Roman" w:hAnsi="Times New Roman" w:cs="Times New Roman"/>
                <w:sz w:val="20"/>
                <w:szCs w:val="20"/>
                <w:lang w:val="ro-RO" w:eastAsia="ro-RO"/>
              </w:rPr>
              <w:t xml:space="preserve"> a Parlamentului European și a Consiliului din 15 mai 2014, apreciem că, </w:t>
            </w:r>
            <w:r w:rsidRPr="0030706D">
              <w:rPr>
                <w:rFonts w:ascii="Times New Roman" w:hAnsi="Times New Roman" w:cs="Times New Roman"/>
                <w:b/>
                <w:bCs/>
                <w:sz w:val="20"/>
                <w:szCs w:val="20"/>
                <w:lang w:val="ro-RO" w:eastAsia="ro-RO"/>
              </w:rPr>
              <w:t>proiectul național asigură transpunerea acestuia.</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068AEE" w14:textId="77777777" w:rsidR="001829F5" w:rsidRDefault="001829F5" w:rsidP="0030706D">
            <w:pPr>
              <w:spacing w:after="0" w:line="240" w:lineRule="auto"/>
              <w:jc w:val="both"/>
            </w:pPr>
          </w:p>
        </w:tc>
      </w:tr>
      <w:tr w:rsidR="00FF2FF9" w:rsidRPr="009B7C97" w14:paraId="2B6F92A6"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3F31A" w14:textId="77777777" w:rsidR="00FF2FF9" w:rsidRDefault="007265B7" w:rsidP="00FF2FF9">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1. Obiectul</w:t>
            </w:r>
          </w:p>
          <w:p w14:paraId="66C2066F" w14:textId="77777777" w:rsidR="007265B7" w:rsidRPr="007265B7" w:rsidRDefault="007265B7" w:rsidP="00FF2FF9">
            <w:pPr>
              <w:spacing w:after="0" w:line="240" w:lineRule="auto"/>
              <w:rPr>
                <w:rFonts w:ascii="Times New Roman" w:eastAsia="Times New Roman" w:hAnsi="Times New Roman" w:cs="Times New Roman"/>
                <w:bCs/>
                <w:iCs/>
                <w:sz w:val="20"/>
                <w:szCs w:val="20"/>
                <w:lang w:val="ro-RO" w:eastAsia="ro-RO"/>
              </w:rPr>
            </w:pPr>
            <w:r w:rsidRPr="007265B7">
              <w:rPr>
                <w:rFonts w:ascii="Times New Roman" w:eastAsia="Times New Roman" w:hAnsi="Times New Roman" w:cs="Times New Roman"/>
                <w:bCs/>
                <w:iCs/>
                <w:sz w:val="20"/>
                <w:szCs w:val="20"/>
                <w:lang w:val="ro-RO" w:eastAsia="ro-RO"/>
              </w:rPr>
              <w:t>(2) În scopurile prevăzute la alin.(1), prezenta lege reglementează:</w:t>
            </w:r>
          </w:p>
          <w:p w14:paraId="3C7DAFEF" w14:textId="77777777" w:rsidR="007265B7" w:rsidRPr="007265B7" w:rsidRDefault="007265B7" w:rsidP="00FF2FF9">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w:t>
            </w:r>
            <w:r w:rsidRPr="007265B7">
              <w:rPr>
                <w:rFonts w:ascii="Times New Roman" w:eastAsia="Times New Roman" w:hAnsi="Times New Roman" w:cs="Times New Roman"/>
                <w:bCs/>
                <w:iCs/>
                <w:sz w:val="20"/>
                <w:szCs w:val="20"/>
                <w:lang w:val="ro-RO" w:eastAsia="ro-RO"/>
              </w:rPr>
              <w:t>...</w:t>
            </w:r>
            <w:r>
              <w:rPr>
                <w:rFonts w:ascii="Times New Roman" w:eastAsia="Times New Roman" w:hAnsi="Times New Roman" w:cs="Times New Roman"/>
                <w:bCs/>
                <w:iCs/>
                <w:sz w:val="20"/>
                <w:szCs w:val="20"/>
                <w:lang w:val="ro-RO" w:eastAsia="ro-RO"/>
              </w:rPr>
              <w:t>]</w:t>
            </w:r>
          </w:p>
          <w:p w14:paraId="3CD334F9" w14:textId="77777777" w:rsidR="007265B7" w:rsidRDefault="007265B7" w:rsidP="00FF2FF9">
            <w:pPr>
              <w:spacing w:after="0" w:line="240" w:lineRule="auto"/>
              <w:rPr>
                <w:rFonts w:ascii="Times New Roman" w:eastAsia="Times New Roman" w:hAnsi="Times New Roman" w:cs="Times New Roman"/>
                <w:bCs/>
                <w:iCs/>
                <w:sz w:val="20"/>
                <w:szCs w:val="20"/>
                <w:lang w:val="ro-RO" w:eastAsia="ro-RO"/>
              </w:rPr>
            </w:pPr>
            <w:r w:rsidRPr="007265B7">
              <w:rPr>
                <w:rFonts w:ascii="Times New Roman" w:eastAsia="Times New Roman" w:hAnsi="Times New Roman" w:cs="Times New Roman"/>
                <w:bCs/>
                <w:iCs/>
                <w:sz w:val="20"/>
                <w:szCs w:val="20"/>
                <w:lang w:val="ro-RO" w:eastAsia="ro-RO"/>
              </w:rPr>
              <w:t>h) regimul juridic aplicabil vânzărilor în lipsă și swapurilor pe riscul de credit.</w:t>
            </w:r>
          </w:p>
          <w:p w14:paraId="0DA4036F" w14:textId="77777777" w:rsidR="007265B7" w:rsidRDefault="007265B7" w:rsidP="00FF2FF9">
            <w:pPr>
              <w:spacing w:after="0" w:line="240" w:lineRule="auto"/>
              <w:rPr>
                <w:rFonts w:ascii="Times New Roman" w:eastAsia="Times New Roman" w:hAnsi="Times New Roman" w:cs="Times New Roman"/>
                <w:b/>
                <w:iCs/>
                <w:sz w:val="20"/>
                <w:szCs w:val="20"/>
                <w:lang w:val="ro-RO" w:eastAsia="ro-RO"/>
              </w:rPr>
            </w:pPr>
          </w:p>
          <w:p w14:paraId="68247E08" w14:textId="77777777" w:rsidR="007265B7" w:rsidRDefault="007265B7" w:rsidP="00FF2FF9">
            <w:pPr>
              <w:spacing w:after="0" w:line="240" w:lineRule="auto"/>
              <w:rPr>
                <w:rFonts w:ascii="Times New Roman" w:eastAsia="Times New Roman" w:hAnsi="Times New Roman" w:cs="Times New Roman"/>
                <w:b/>
                <w:iCs/>
                <w:sz w:val="20"/>
                <w:szCs w:val="20"/>
                <w:lang w:val="ro-RO" w:eastAsia="ro-RO"/>
              </w:rPr>
            </w:pPr>
            <w:r>
              <w:rPr>
                <w:rFonts w:ascii="Times New Roman" w:eastAsia="Times New Roman" w:hAnsi="Times New Roman" w:cs="Times New Roman"/>
                <w:b/>
                <w:iCs/>
                <w:sz w:val="20"/>
                <w:szCs w:val="20"/>
                <w:lang w:val="ro-RO" w:eastAsia="ro-RO"/>
              </w:rPr>
              <w:t>Articolul 35. Cerințe organizaționale generale</w:t>
            </w:r>
          </w:p>
          <w:p w14:paraId="5B03E866" w14:textId="77777777" w:rsidR="007265B7" w:rsidRPr="007265B7" w:rsidRDefault="007265B7" w:rsidP="00FF2FF9">
            <w:pPr>
              <w:spacing w:after="0" w:line="240" w:lineRule="auto"/>
              <w:rPr>
                <w:rFonts w:ascii="Times New Roman" w:eastAsia="Times New Roman" w:hAnsi="Times New Roman" w:cs="Times New Roman"/>
                <w:bCs/>
                <w:iCs/>
                <w:sz w:val="20"/>
                <w:szCs w:val="20"/>
                <w:lang w:eastAsia="ro-RO"/>
              </w:rPr>
            </w:pPr>
            <w:r w:rsidRPr="007265B7">
              <w:rPr>
                <w:rFonts w:ascii="Times New Roman" w:eastAsia="Times New Roman" w:hAnsi="Times New Roman" w:cs="Times New Roman"/>
                <w:bCs/>
                <w:iCs/>
                <w:sz w:val="20"/>
                <w:szCs w:val="20"/>
                <w:lang w:val="ro-RO" w:eastAsia="ro-RO"/>
              </w:rPr>
              <w:t>(19) Firma de investiții este exceptat</w:t>
            </w:r>
            <w:r w:rsidRPr="007265B7">
              <w:rPr>
                <w:rFonts w:ascii="Times New Roman" w:eastAsia="Times New Roman" w:hAnsi="Times New Roman" w:cs="Times New Roman"/>
                <w:bCs/>
                <w:iCs/>
                <w:sz w:val="20"/>
                <w:szCs w:val="20"/>
                <w:lang w:eastAsia="ro-RO"/>
              </w:rPr>
              <w:t>ă de la aplicarea cerințelor prevăzute la alin.(9) și (10) din prezentul articol, precum și a celor prevăzute la art.51 alin.(2) și (3) în cazul în care serviciul de investiții pe care îl prestează se referă la obligațiuni care nu încorporează niciun alt instrument derivat decât o clauză de tip make-whole sau în cazul în care instrumentele financiare sunt comercializate sau distribuite exclusiv părților eligibile.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FF775AF" w14:textId="77777777" w:rsidR="00FF2FF9" w:rsidRDefault="00FF2FF9" w:rsidP="00FF2FF9">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Ministerul Justiției </w:t>
            </w: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36A923E" w14:textId="77777777" w:rsidR="00FF2FF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91BED" w14:textId="77777777" w:rsidR="00FF2FF9" w:rsidRPr="00AF3EDD" w:rsidRDefault="00FF2FF9" w:rsidP="00FF2FF9">
            <w:pPr>
              <w:spacing w:after="0" w:line="240" w:lineRule="auto"/>
              <w:jc w:val="both"/>
              <w:rPr>
                <w:rFonts w:ascii="Times New Roman" w:hAnsi="Times New Roman" w:cs="Times New Roman"/>
                <w:sz w:val="20"/>
                <w:szCs w:val="20"/>
                <w:lang w:eastAsia="ro-RO"/>
              </w:rPr>
            </w:pPr>
            <w:r w:rsidRPr="00AF3EDD">
              <w:rPr>
                <w:rFonts w:ascii="Times New Roman" w:hAnsi="Times New Roman" w:cs="Times New Roman"/>
                <w:sz w:val="20"/>
                <w:szCs w:val="20"/>
                <w:lang w:eastAsia="ro-RO"/>
              </w:rPr>
              <w:t>La art.1 alin.(2), cu referire la redacția propusă la lit.h), care face trimitere la „swapurile pe riscul de credit”, considerăm necesară revizuirea acesteia prin utilizarea terminologiei în limba română sau, după caz, prin indicarea corespondentului în limba română al termenului utilizat.</w:t>
            </w:r>
          </w:p>
          <w:p w14:paraId="13315746" w14:textId="77777777" w:rsidR="00FF2FF9" w:rsidRPr="00AF3EDD" w:rsidRDefault="00FF2FF9" w:rsidP="00FF2FF9">
            <w:pPr>
              <w:spacing w:after="0" w:line="240" w:lineRule="auto"/>
              <w:jc w:val="both"/>
              <w:rPr>
                <w:rFonts w:ascii="Times New Roman" w:hAnsi="Times New Roman" w:cs="Times New Roman"/>
                <w:sz w:val="20"/>
                <w:szCs w:val="20"/>
                <w:lang w:val="ro-RO" w:eastAsia="ro-RO"/>
              </w:rPr>
            </w:pPr>
            <w:r w:rsidRPr="00AF3EDD">
              <w:rPr>
                <w:rFonts w:ascii="Times New Roman" w:hAnsi="Times New Roman" w:cs="Times New Roman"/>
                <w:sz w:val="20"/>
                <w:szCs w:val="20"/>
                <w:lang w:eastAsia="ro-RO"/>
              </w:rPr>
              <w:t>În acest sens, relevăm că, potrivit art.54 alin.(1) lit.e) din Legea nr.100/2017 cu privire la actele normative, în cazul în care se impune folosirea unor termeni și expresii din alte limbi, urmează să fie indicat corespondentul acestora în limba română (obiecție aplicabilă și pentru art.35 alin.(19) termenul de „make-whole” și art.113 alin.(5) termenul de „swapuri”).</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DDBCA" w14:textId="77777777" w:rsidR="00711B58" w:rsidRDefault="007265B7" w:rsidP="00711B58">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Nu se acceptă</w:t>
            </w:r>
          </w:p>
          <w:p w14:paraId="4E15B989" w14:textId="77777777" w:rsidR="00711B58" w:rsidRPr="00711B58" w:rsidRDefault="00711B58" w:rsidP="00711B58">
            <w:pPr>
              <w:spacing w:after="0" w:line="240" w:lineRule="auto"/>
              <w:jc w:val="both"/>
              <w:rPr>
                <w:rFonts w:ascii="Times New Roman" w:hAnsi="Times New Roman" w:cs="Times New Roman"/>
                <w:bCs/>
                <w:sz w:val="20"/>
                <w:szCs w:val="20"/>
                <w:lang w:val="ro-RO" w:eastAsia="ro-RO"/>
              </w:rPr>
            </w:pPr>
            <w:r w:rsidRPr="00711B58">
              <w:rPr>
                <w:rFonts w:ascii="Times New Roman" w:hAnsi="Times New Roman" w:cs="Times New Roman"/>
                <w:bCs/>
                <w:sz w:val="20"/>
                <w:szCs w:val="20"/>
                <w:lang w:val="ro-RO" w:eastAsia="ro-RO"/>
              </w:rPr>
              <w:t>Cerința prevăzută la art.54 alin.(1) lit.e) din Legea nr.100/2017 este deja respectată în proiect:</w:t>
            </w:r>
          </w:p>
          <w:p w14:paraId="327B9EDA" w14:textId="77777777" w:rsidR="00711B58" w:rsidRPr="00711B58" w:rsidRDefault="00711B58" w:rsidP="00711B58">
            <w:pPr>
              <w:spacing w:after="0" w:line="240" w:lineRule="auto"/>
              <w:jc w:val="both"/>
              <w:rPr>
                <w:rFonts w:ascii="Times New Roman" w:hAnsi="Times New Roman" w:cs="Times New Roman"/>
                <w:bCs/>
                <w:sz w:val="20"/>
                <w:szCs w:val="20"/>
                <w:lang w:val="ro-RO" w:eastAsia="ro-RO"/>
              </w:rPr>
            </w:pPr>
            <w:r w:rsidRPr="00711B58">
              <w:rPr>
                <w:rFonts w:ascii="Times New Roman" w:hAnsi="Times New Roman" w:cs="Times New Roman"/>
                <w:bCs/>
                <w:sz w:val="20"/>
                <w:szCs w:val="20"/>
                <w:lang w:val="ro-RO" w:eastAsia="ro-RO"/>
              </w:rPr>
              <w:t>– termenul „clauză de tip make-whole" este definit la art.4</w:t>
            </w:r>
            <w:r>
              <w:rPr>
                <w:rFonts w:ascii="Times New Roman" w:hAnsi="Times New Roman" w:cs="Times New Roman"/>
                <w:bCs/>
                <w:sz w:val="20"/>
                <w:szCs w:val="20"/>
                <w:lang w:val="ro-RO" w:eastAsia="ro-RO"/>
              </w:rPr>
              <w:t xml:space="preserve"> alin.(1) pct.12)</w:t>
            </w:r>
            <w:r w:rsidRPr="00711B58">
              <w:rPr>
                <w:rFonts w:ascii="Times New Roman" w:hAnsi="Times New Roman" w:cs="Times New Roman"/>
                <w:bCs/>
                <w:sz w:val="20"/>
                <w:szCs w:val="20"/>
                <w:lang w:val="ro-RO" w:eastAsia="ro-RO"/>
              </w:rPr>
              <w:t xml:space="preserve">, cu indicarea expresă a corespondentului în limba română, </w:t>
            </w:r>
            <w:r>
              <w:rPr>
                <w:rFonts w:ascii="Times New Roman" w:hAnsi="Times New Roman" w:cs="Times New Roman"/>
                <w:bCs/>
                <w:sz w:val="20"/>
                <w:szCs w:val="20"/>
                <w:lang w:val="ro-RO" w:eastAsia="ro-RO"/>
              </w:rPr>
              <w:t>„</w:t>
            </w:r>
            <w:r w:rsidRPr="00711B58">
              <w:rPr>
                <w:rFonts w:ascii="Times New Roman" w:hAnsi="Times New Roman" w:cs="Times New Roman"/>
                <w:bCs/>
                <w:sz w:val="20"/>
                <w:szCs w:val="20"/>
                <w:lang w:val="ro-RO" w:eastAsia="ro-RO"/>
              </w:rPr>
              <w:t>(cu plată integrală)</w:t>
            </w:r>
            <w:r>
              <w:rPr>
                <w:rFonts w:ascii="Times New Roman" w:hAnsi="Times New Roman" w:cs="Times New Roman"/>
                <w:bCs/>
                <w:sz w:val="20"/>
                <w:szCs w:val="20"/>
                <w:lang w:val="ro-RO" w:eastAsia="ro-RO"/>
              </w:rPr>
              <w:t>”</w:t>
            </w:r>
            <w:r w:rsidRPr="00711B58">
              <w:rPr>
                <w:rFonts w:ascii="Times New Roman" w:hAnsi="Times New Roman" w:cs="Times New Roman"/>
                <w:bCs/>
                <w:sz w:val="20"/>
                <w:szCs w:val="20"/>
                <w:lang w:val="ro-RO" w:eastAsia="ro-RO"/>
              </w:rPr>
              <w:t>, și cu explicarea integrală a conținutului noțiunii, fiind utilizat la art.35 alin.(19) ulterior definirii sale;</w:t>
            </w:r>
          </w:p>
          <w:p w14:paraId="4B89E21E" w14:textId="77777777" w:rsidR="00711B58" w:rsidRPr="00711B58" w:rsidRDefault="00711B58" w:rsidP="00711B58">
            <w:pPr>
              <w:spacing w:after="0" w:line="240" w:lineRule="auto"/>
              <w:jc w:val="both"/>
              <w:rPr>
                <w:rFonts w:ascii="Times New Roman" w:hAnsi="Times New Roman" w:cs="Times New Roman"/>
                <w:bCs/>
                <w:sz w:val="20"/>
                <w:szCs w:val="20"/>
                <w:lang w:val="ro-RO" w:eastAsia="ro-RO"/>
              </w:rPr>
            </w:pPr>
            <w:r w:rsidRPr="00711B58">
              <w:rPr>
                <w:rFonts w:ascii="Times New Roman" w:hAnsi="Times New Roman" w:cs="Times New Roman"/>
                <w:bCs/>
                <w:sz w:val="20"/>
                <w:szCs w:val="20"/>
                <w:lang w:val="ro-RO" w:eastAsia="ro-RO"/>
              </w:rPr>
              <w:t>– termenul „swap pe riscul de credit</w:t>
            </w:r>
            <w:r w:rsidR="00251DF9">
              <w:rPr>
                <w:rFonts w:ascii="Times New Roman" w:hAnsi="Times New Roman" w:cs="Times New Roman"/>
                <w:bCs/>
                <w:sz w:val="20"/>
                <w:szCs w:val="20"/>
                <w:lang w:val="ro-RO" w:eastAsia="ro-RO"/>
              </w:rPr>
              <w:t>”</w:t>
            </w:r>
            <w:r w:rsidRPr="00711B58">
              <w:rPr>
                <w:rFonts w:ascii="Times New Roman" w:hAnsi="Times New Roman" w:cs="Times New Roman"/>
                <w:bCs/>
                <w:sz w:val="20"/>
                <w:szCs w:val="20"/>
                <w:lang w:val="ro-RO" w:eastAsia="ro-RO"/>
              </w:rPr>
              <w:t xml:space="preserve"> este definit la art.131 </w:t>
            </w:r>
            <w:r w:rsidR="00251DF9">
              <w:rPr>
                <w:rFonts w:ascii="Times New Roman" w:hAnsi="Times New Roman" w:cs="Times New Roman"/>
                <w:bCs/>
                <w:sz w:val="20"/>
                <w:szCs w:val="20"/>
                <w:lang w:val="ro-RO" w:eastAsia="ro-RO"/>
              </w:rPr>
              <w:t xml:space="preserve">alin.(2) </w:t>
            </w:r>
            <w:r w:rsidRPr="00711B58">
              <w:rPr>
                <w:rFonts w:ascii="Times New Roman" w:hAnsi="Times New Roman" w:cs="Times New Roman"/>
                <w:bCs/>
                <w:sz w:val="20"/>
                <w:szCs w:val="20"/>
                <w:lang w:val="ro-RO" w:eastAsia="ro-RO"/>
              </w:rPr>
              <w:t>pct.10), iar „swap pe riscul de credit al datoriei suverane</w:t>
            </w:r>
            <w:r w:rsidR="00251DF9">
              <w:rPr>
                <w:rFonts w:ascii="Times New Roman" w:hAnsi="Times New Roman" w:cs="Times New Roman"/>
                <w:bCs/>
                <w:sz w:val="20"/>
                <w:szCs w:val="20"/>
                <w:lang w:val="ro-RO" w:eastAsia="ro-RO"/>
              </w:rPr>
              <w:t>”</w:t>
            </w:r>
            <w:r w:rsidRPr="00711B58">
              <w:rPr>
                <w:rFonts w:ascii="Times New Roman" w:hAnsi="Times New Roman" w:cs="Times New Roman"/>
                <w:bCs/>
                <w:sz w:val="20"/>
                <w:szCs w:val="20"/>
                <w:lang w:val="ro-RO" w:eastAsia="ro-RO"/>
              </w:rPr>
              <w:t xml:space="preserve"> la art.131</w:t>
            </w:r>
            <w:r w:rsidR="00251DF9">
              <w:rPr>
                <w:rFonts w:ascii="Times New Roman" w:hAnsi="Times New Roman" w:cs="Times New Roman"/>
                <w:bCs/>
                <w:sz w:val="20"/>
                <w:szCs w:val="20"/>
                <w:lang w:val="ro-RO" w:eastAsia="ro-RO"/>
              </w:rPr>
              <w:t xml:space="preserve"> alin.(2)</w:t>
            </w:r>
            <w:r w:rsidRPr="00711B58">
              <w:rPr>
                <w:rFonts w:ascii="Times New Roman" w:hAnsi="Times New Roman" w:cs="Times New Roman"/>
                <w:bCs/>
                <w:sz w:val="20"/>
                <w:szCs w:val="20"/>
                <w:lang w:val="ro-RO" w:eastAsia="ro-RO"/>
              </w:rPr>
              <w:t xml:space="preserve"> pct.11), cu explicarea conținutului acestora.</w:t>
            </w:r>
            <w:r w:rsidR="00251DF9">
              <w:rPr>
                <w:rFonts w:ascii="Times New Roman" w:hAnsi="Times New Roman" w:cs="Times New Roman"/>
                <w:bCs/>
                <w:sz w:val="20"/>
                <w:szCs w:val="20"/>
                <w:lang w:val="ro-RO" w:eastAsia="ro-RO"/>
              </w:rPr>
              <w:t xml:space="preserve"> De asemenea</w:t>
            </w:r>
            <w:r w:rsidR="00251DF9" w:rsidRPr="00711B58">
              <w:rPr>
                <w:rFonts w:ascii="Times New Roman" w:hAnsi="Times New Roman" w:cs="Times New Roman"/>
                <w:bCs/>
                <w:sz w:val="20"/>
                <w:szCs w:val="20"/>
                <w:lang w:val="ro-RO" w:eastAsia="ro-RO"/>
              </w:rPr>
              <w:t>, „swap</w:t>
            </w:r>
            <w:r w:rsidR="00251DF9">
              <w:rPr>
                <w:rFonts w:ascii="Times New Roman" w:hAnsi="Times New Roman" w:cs="Times New Roman"/>
                <w:bCs/>
                <w:sz w:val="20"/>
                <w:szCs w:val="20"/>
                <w:lang w:val="ro-RO" w:eastAsia="ro-RO"/>
              </w:rPr>
              <w:t>”</w:t>
            </w:r>
            <w:r w:rsidR="00251DF9" w:rsidRPr="00711B58">
              <w:rPr>
                <w:rFonts w:ascii="Times New Roman" w:hAnsi="Times New Roman" w:cs="Times New Roman"/>
                <w:bCs/>
                <w:sz w:val="20"/>
                <w:szCs w:val="20"/>
                <w:lang w:val="ro-RO" w:eastAsia="ro-RO"/>
              </w:rPr>
              <w:t xml:space="preserve"> este un termen financiar consacrat, fără un echivalent monolexical adecvat în limba română</w:t>
            </w:r>
            <w:r w:rsidR="00251DF9">
              <w:rPr>
                <w:rFonts w:ascii="Times New Roman" w:hAnsi="Times New Roman" w:cs="Times New Roman"/>
                <w:bCs/>
                <w:sz w:val="20"/>
                <w:szCs w:val="20"/>
                <w:lang w:val="ro-RO" w:eastAsia="ro-RO"/>
              </w:rPr>
              <w:t xml:space="preserve"> (a se vedea, de exemplu, Legea 232/2016 sau </w:t>
            </w:r>
            <w:r w:rsidR="00D85456">
              <w:rPr>
                <w:rFonts w:ascii="Times New Roman" w:hAnsi="Times New Roman" w:cs="Times New Roman"/>
                <w:bCs/>
                <w:sz w:val="20"/>
                <w:szCs w:val="20"/>
                <w:lang w:val="ro-RO" w:eastAsia="ro-RO"/>
              </w:rPr>
              <w:t>Regulamentul aprobat prin Hotărârea BNM nr.187/2025)</w:t>
            </w:r>
            <w:r w:rsidR="00251DF9" w:rsidRPr="00711B58">
              <w:rPr>
                <w:rFonts w:ascii="Times New Roman" w:hAnsi="Times New Roman" w:cs="Times New Roman"/>
                <w:bCs/>
                <w:sz w:val="20"/>
                <w:szCs w:val="20"/>
                <w:lang w:val="ro-RO" w:eastAsia="ro-RO"/>
              </w:rPr>
              <w:t>.</w:t>
            </w:r>
          </w:p>
          <w:p w14:paraId="03B47956" w14:textId="77777777" w:rsidR="00251DF9" w:rsidRDefault="00711B58" w:rsidP="00711B58">
            <w:pPr>
              <w:spacing w:after="0" w:line="240" w:lineRule="auto"/>
              <w:jc w:val="both"/>
              <w:rPr>
                <w:rFonts w:ascii="Times New Roman" w:hAnsi="Times New Roman" w:cs="Times New Roman"/>
                <w:bCs/>
                <w:sz w:val="20"/>
                <w:szCs w:val="20"/>
                <w:lang w:val="ro-RO" w:eastAsia="ro-RO"/>
              </w:rPr>
            </w:pPr>
            <w:r w:rsidRPr="00711B58">
              <w:rPr>
                <w:rFonts w:ascii="Times New Roman" w:hAnsi="Times New Roman" w:cs="Times New Roman"/>
                <w:bCs/>
                <w:sz w:val="20"/>
                <w:szCs w:val="20"/>
                <w:lang w:val="ro-RO" w:eastAsia="ro-RO"/>
              </w:rPr>
              <w:t>Totodată, ambele noțiuni reproduc terminologia oficială în limba română a actelor Uniunii Europene transpuse: formularea „clauză de tip make-whole" corespunde celei din versiunea română a Directivei 2014/65/UE, iar „swap pe riscul de credit</w:t>
            </w:r>
            <w:r w:rsidR="00251DF9">
              <w:rPr>
                <w:rFonts w:ascii="Times New Roman" w:hAnsi="Times New Roman" w:cs="Times New Roman"/>
                <w:bCs/>
                <w:sz w:val="20"/>
                <w:szCs w:val="20"/>
                <w:lang w:val="ro-RO" w:eastAsia="ro-RO"/>
              </w:rPr>
              <w:t>”</w:t>
            </w:r>
            <w:r w:rsidRPr="00711B58">
              <w:rPr>
                <w:rFonts w:ascii="Times New Roman" w:hAnsi="Times New Roman" w:cs="Times New Roman"/>
                <w:bCs/>
                <w:sz w:val="20"/>
                <w:szCs w:val="20"/>
                <w:lang w:val="ro-RO" w:eastAsia="ro-RO"/>
              </w:rPr>
              <w:t xml:space="preserve"> este denumirea oficială utilizată în Regulamentul (UE) nr.236/2012, preluată inclusiv în titlul acestuia, reprodus în clauza de armonizare a proiectului. </w:t>
            </w:r>
          </w:p>
          <w:p w14:paraId="3D9F82F4" w14:textId="77777777" w:rsidR="007265B7" w:rsidRPr="007265B7" w:rsidRDefault="00711B58" w:rsidP="00711B58">
            <w:pPr>
              <w:spacing w:after="0" w:line="240" w:lineRule="auto"/>
              <w:jc w:val="both"/>
              <w:rPr>
                <w:rFonts w:ascii="Times New Roman" w:hAnsi="Times New Roman" w:cs="Times New Roman"/>
                <w:bCs/>
                <w:sz w:val="20"/>
                <w:szCs w:val="20"/>
                <w:lang w:val="ro-RO" w:eastAsia="ro-RO"/>
              </w:rPr>
            </w:pPr>
            <w:r w:rsidRPr="00711B58">
              <w:rPr>
                <w:rFonts w:ascii="Times New Roman" w:hAnsi="Times New Roman" w:cs="Times New Roman"/>
                <w:bCs/>
                <w:sz w:val="20"/>
                <w:szCs w:val="20"/>
                <w:lang w:val="ro-RO" w:eastAsia="ro-RO"/>
              </w:rPr>
              <w:lastRenderedPageBreak/>
              <w:t>Potrivit pct.24 din Regulamentul aprobat prin Hotărârea Guvernului nr.1171/2018, terminologia, definițiile și formulările actelor Uniunii Europene se preiau fără devieri, pentru păstrarea compatibilității cu acquis-ul; înlocuirea acestor termeni consacrați ar afecta corespondența cu actele UE transpuse.</w:t>
            </w:r>
          </w:p>
        </w:tc>
      </w:tr>
      <w:tr w:rsidR="00FF2FF9" w:rsidRPr="009B7C97" w14:paraId="4CFC2FE9"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9B322" w14:textId="77777777" w:rsidR="00C951EC" w:rsidRPr="00C951EC" w:rsidRDefault="00C951EC" w:rsidP="00C951EC">
            <w:pPr>
              <w:spacing w:after="0" w:line="240" w:lineRule="auto"/>
              <w:rPr>
                <w:rFonts w:ascii="Times New Roman" w:eastAsia="Times New Roman" w:hAnsi="Times New Roman" w:cs="Times New Roman"/>
                <w:b/>
                <w:iCs/>
                <w:sz w:val="20"/>
                <w:szCs w:val="20"/>
                <w:lang w:val="ro-RO" w:eastAsia="ro-RO"/>
              </w:rPr>
            </w:pPr>
            <w:r w:rsidRPr="00C951EC">
              <w:rPr>
                <w:rFonts w:ascii="Times New Roman" w:eastAsia="Times New Roman" w:hAnsi="Times New Roman" w:cs="Times New Roman"/>
                <w:b/>
                <w:iCs/>
                <w:sz w:val="20"/>
                <w:szCs w:val="20"/>
                <w:lang w:val="ro-RO" w:eastAsia="ro-RO"/>
              </w:rPr>
              <w:lastRenderedPageBreak/>
              <w:t>Articolul 2. Domeniul de aplicare și alte prevederi generale</w:t>
            </w:r>
          </w:p>
          <w:p w14:paraId="763A0E78" w14:textId="77777777" w:rsidR="00C951EC" w:rsidRPr="00C951EC" w:rsidRDefault="00C951EC" w:rsidP="00C951EC">
            <w:pPr>
              <w:spacing w:after="0" w:line="240" w:lineRule="auto"/>
              <w:jc w:val="both"/>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w:t>
            </w:r>
          </w:p>
          <w:p w14:paraId="2C49F9D2" w14:textId="77777777" w:rsidR="00C951EC" w:rsidRPr="00C951EC" w:rsidRDefault="00C951EC" w:rsidP="00C951EC">
            <w:pPr>
              <w:spacing w:after="0" w:line="240" w:lineRule="auto"/>
              <w:jc w:val="both"/>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(2) Fără a aduce atingere altor prevederi ale prezentei legi, următoarele dispoziţii ale acesteia se aplică în mod corespunzător instituțiilor de credit din Republica Moldova, în cazul în care acestea prestează unul sau mai multe servicii de investiţii și/sau desfășoară una sau mai multe activităţi de investiţii:</w:t>
            </w:r>
          </w:p>
          <w:p w14:paraId="2D01BA3E" w14:textId="77777777" w:rsidR="00C951EC" w:rsidRPr="00C951EC" w:rsidRDefault="00C951EC" w:rsidP="00C951EC">
            <w:pPr>
              <w:spacing w:after="0" w:line="240" w:lineRule="auto"/>
              <w:jc w:val="both"/>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w:t>
            </w:r>
          </w:p>
          <w:p w14:paraId="3652A4E8" w14:textId="77777777" w:rsidR="00FF2FF9" w:rsidRPr="00C71263" w:rsidRDefault="00C951EC" w:rsidP="00C951EC">
            <w:pPr>
              <w:spacing w:after="0" w:line="240" w:lineRule="auto"/>
              <w:jc w:val="both"/>
              <w:rPr>
                <w:rFonts w:ascii="Times New Roman" w:eastAsia="Times New Roman" w:hAnsi="Times New Roman" w:cs="Times New Roman"/>
                <w:b/>
                <w:iCs/>
                <w:sz w:val="20"/>
                <w:szCs w:val="20"/>
                <w:lang w:val="ro-RO" w:eastAsia="ro-RO"/>
              </w:rPr>
            </w:pPr>
            <w:r w:rsidRPr="00C951EC">
              <w:rPr>
                <w:rFonts w:ascii="Times New Roman" w:eastAsia="Times New Roman" w:hAnsi="Times New Roman" w:cs="Times New Roman"/>
                <w:bCs/>
                <w:iCs/>
                <w:sz w:val="20"/>
                <w:szCs w:val="20"/>
                <w:lang w:val="ro-RO" w:eastAsia="ro-RO"/>
              </w:rPr>
              <w:t>d) condițiile de organizare și funcționare a MTF și OTF prevăzute în titlul III capitolul II, în cazul în care instituțiile de credit exploatează un MTF sau OTF;</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B8D1D98" w14:textId="77777777" w:rsidR="00FF2FF9" w:rsidRDefault="00FF2FF9" w:rsidP="00FF2FF9">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0FB5045F" w14:textId="77777777" w:rsidR="00263797" w:rsidRDefault="00263797" w:rsidP="00FF2FF9">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75742C" w14:textId="77777777" w:rsidR="00FF2FF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696A5" w14:textId="77777777" w:rsidR="00FF2FF9" w:rsidRPr="00D85456" w:rsidRDefault="00FF2FF9" w:rsidP="00FF2FF9">
            <w:pPr>
              <w:spacing w:after="0" w:line="240" w:lineRule="auto"/>
              <w:jc w:val="both"/>
              <w:rPr>
                <w:rFonts w:ascii="Times New Roman" w:hAnsi="Times New Roman" w:cs="Times New Roman"/>
                <w:sz w:val="20"/>
                <w:szCs w:val="20"/>
                <w:lang w:eastAsia="ro-RO"/>
              </w:rPr>
            </w:pPr>
            <w:r w:rsidRPr="00D85456">
              <w:rPr>
                <w:rFonts w:ascii="Times New Roman" w:hAnsi="Times New Roman" w:cs="Times New Roman"/>
                <w:sz w:val="20"/>
                <w:szCs w:val="20"/>
                <w:lang w:eastAsia="ro-RO"/>
              </w:rPr>
              <w:t>La art.2 alin.(2) lit.d) sunt utilizate abrevierile „MTF” și „OTF” fără ca acestea să fie explicate la prima utilizare în textul proiectului.</w:t>
            </w:r>
          </w:p>
          <w:p w14:paraId="10FE2FE8" w14:textId="77777777" w:rsidR="00FF2FF9" w:rsidRPr="00D85456" w:rsidRDefault="00FF2FF9" w:rsidP="00FF2FF9">
            <w:pPr>
              <w:spacing w:after="0" w:line="240" w:lineRule="auto"/>
              <w:jc w:val="both"/>
              <w:rPr>
                <w:rFonts w:ascii="Times New Roman" w:hAnsi="Times New Roman" w:cs="Times New Roman"/>
                <w:sz w:val="20"/>
                <w:szCs w:val="20"/>
                <w:lang w:eastAsia="ro-RO"/>
              </w:rPr>
            </w:pPr>
            <w:r w:rsidRPr="00D85456">
              <w:rPr>
                <w:rFonts w:ascii="Times New Roman" w:hAnsi="Times New Roman" w:cs="Times New Roman"/>
                <w:sz w:val="20"/>
                <w:szCs w:val="20"/>
                <w:lang w:eastAsia="ro-RO"/>
              </w:rPr>
              <w:t>În acest sens, atenționăm că, potrivit regulilor de tehnică legislativă consacrate de art.54 alin.(1) din Legea nr.100/2017 cu privire la actele normative, exprimarea prin abrevieri a unor denumiri sau termeni se poate face numai după explicarea acestora în text, la prima folosire. Utilizarea unor abrevieri neexplicate poate afecta claritatea și accesibilitatea normei juridice, în special pentru destinatarii care nu dețin cunoștințe de specialitate în domeniul reglementat. Prin urmare, se recomandă completarea proiectului cu denumirea integrală a noțiunilor corespunzătoare abrevierilor „MTF” și „OTF”, urmată, după caz, de indicarea abrevierii între paranteze, care să fie utilizată ulterior în cuprinsul actului normativ</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0836B" w14:textId="77777777" w:rsidR="008F2120" w:rsidRDefault="00444931" w:rsidP="00FF2FF9">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Se acceptă</w:t>
            </w:r>
          </w:p>
          <w:p w14:paraId="173E52D3" w14:textId="77777777" w:rsidR="00FF2FF9" w:rsidRPr="00A55A88" w:rsidRDefault="006D3F44" w:rsidP="00FF2FF9">
            <w:pPr>
              <w:spacing w:after="0" w:line="240" w:lineRule="auto"/>
              <w:jc w:val="both"/>
              <w:rPr>
                <w:rFonts w:ascii="Times New Roman" w:hAnsi="Times New Roman" w:cs="Times New Roman"/>
                <w:b/>
                <w:sz w:val="20"/>
                <w:szCs w:val="20"/>
                <w:lang w:val="ro-RO" w:eastAsia="ro-RO"/>
              </w:rPr>
            </w:pPr>
            <w:r w:rsidRPr="00A55A88">
              <w:rPr>
                <w:rFonts w:ascii="Times New Roman" w:hAnsi="Times New Roman" w:cs="Times New Roman"/>
                <w:bCs/>
                <w:sz w:val="20"/>
                <w:szCs w:val="20"/>
                <w:lang w:val="ro-RO" w:eastAsia="ro-RO"/>
              </w:rPr>
              <w:t>Au fost operate modificări la art.2 alin.(2) lit.d) cu includerea termenului de „</w:t>
            </w:r>
            <w:bookmarkStart w:id="1" w:name="_Hlk233118190"/>
            <w:r w:rsidRPr="00A55A88">
              <w:rPr>
                <w:rFonts w:ascii="Times New Roman" w:hAnsi="Times New Roman" w:cs="Times New Roman"/>
                <w:bCs/>
                <w:sz w:val="20"/>
                <w:szCs w:val="20"/>
                <w:lang w:val="ro-RO" w:eastAsia="ro-RO"/>
              </w:rPr>
              <w:t>sistem multilateral de tranzacționare</w:t>
            </w:r>
            <w:bookmarkEnd w:id="1"/>
            <w:r w:rsidRPr="00A55A88">
              <w:rPr>
                <w:rFonts w:ascii="Times New Roman" w:hAnsi="Times New Roman" w:cs="Times New Roman"/>
                <w:bCs/>
                <w:sz w:val="20"/>
                <w:szCs w:val="20"/>
                <w:lang w:val="ro-RO" w:eastAsia="ro-RO"/>
              </w:rPr>
              <w:t>” și „</w:t>
            </w:r>
            <w:bookmarkStart w:id="2" w:name="_Hlk233118210"/>
            <w:r w:rsidRPr="00A55A88">
              <w:rPr>
                <w:rFonts w:ascii="Times New Roman" w:hAnsi="Times New Roman" w:cs="Times New Roman"/>
                <w:bCs/>
                <w:sz w:val="20"/>
                <w:szCs w:val="20"/>
                <w:lang w:val="ro-RO" w:eastAsia="ro-RO"/>
              </w:rPr>
              <w:t>sistem organizat de tranzacționare</w:t>
            </w:r>
            <w:bookmarkEnd w:id="2"/>
            <w:r w:rsidRPr="00A55A88">
              <w:rPr>
                <w:rFonts w:ascii="Times New Roman" w:hAnsi="Times New Roman" w:cs="Times New Roman"/>
                <w:bCs/>
                <w:sz w:val="20"/>
                <w:szCs w:val="20"/>
                <w:lang w:val="ro-RO" w:eastAsia="ro-RO"/>
              </w:rPr>
              <w:t>”.</w:t>
            </w:r>
          </w:p>
        </w:tc>
      </w:tr>
      <w:tr w:rsidR="00FF2FF9" w:rsidRPr="009B7C97" w14:paraId="5C1DAE07"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6E486" w14:textId="77777777" w:rsidR="00C951EC" w:rsidRPr="00C951EC" w:rsidRDefault="00C951EC" w:rsidP="00C951EC">
            <w:pPr>
              <w:spacing w:after="0" w:line="240" w:lineRule="auto"/>
              <w:rPr>
                <w:rFonts w:ascii="Times New Roman" w:eastAsia="Times New Roman" w:hAnsi="Times New Roman" w:cs="Times New Roman"/>
                <w:b/>
                <w:bCs/>
                <w:iCs/>
                <w:sz w:val="20"/>
                <w:szCs w:val="20"/>
                <w:lang w:val="ro-RO" w:eastAsia="ro-RO"/>
              </w:rPr>
            </w:pPr>
            <w:bookmarkStart w:id="3" w:name="_Toc223708590"/>
            <w:r w:rsidRPr="00C951EC">
              <w:rPr>
                <w:rFonts w:ascii="Times New Roman" w:eastAsia="Times New Roman" w:hAnsi="Times New Roman" w:cs="Times New Roman"/>
                <w:b/>
                <w:bCs/>
                <w:iCs/>
                <w:sz w:val="20"/>
                <w:szCs w:val="20"/>
                <w:lang w:val="ro-RO" w:eastAsia="ro-RO"/>
              </w:rPr>
              <w:t xml:space="preserve">Articolul 4. </w:t>
            </w:r>
            <w:bookmarkEnd w:id="3"/>
            <w:r w:rsidRPr="00C951EC">
              <w:rPr>
                <w:rFonts w:ascii="Times New Roman" w:eastAsia="Times New Roman" w:hAnsi="Times New Roman" w:cs="Times New Roman"/>
                <w:b/>
                <w:bCs/>
                <w:iCs/>
                <w:sz w:val="20"/>
                <w:szCs w:val="20"/>
                <w:lang w:val="ro-RO" w:eastAsia="ro-RO"/>
              </w:rPr>
              <w:t>Noțiuni principale</w:t>
            </w:r>
          </w:p>
          <w:p w14:paraId="4639AB37" w14:textId="77777777" w:rsidR="00C951EC" w:rsidRPr="00C951EC" w:rsidRDefault="00C951EC" w:rsidP="00C951EC">
            <w:pPr>
              <w:spacing w:after="0" w:line="240" w:lineRule="auto"/>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(1) În sensul prezentei legi, următoarele noţiuni principale semnifică:</w:t>
            </w:r>
          </w:p>
          <w:p w14:paraId="2D6A4236" w14:textId="77777777" w:rsidR="00C951EC" w:rsidRDefault="00C951EC" w:rsidP="00C951EC">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w:t>
            </w:r>
          </w:p>
          <w:p w14:paraId="607AEB4E" w14:textId="77777777" w:rsidR="00C951EC" w:rsidRPr="00C951EC" w:rsidRDefault="00C951EC" w:rsidP="00C951EC">
            <w:pPr>
              <w:spacing w:after="0" w:line="240" w:lineRule="auto"/>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
                <w:sz w:val="20"/>
                <w:szCs w:val="20"/>
                <w:lang w:val="ro-RO" w:eastAsia="ro-RO"/>
              </w:rPr>
              <w:t>instituție de credit</w:t>
            </w:r>
            <w:r w:rsidRPr="00C951EC">
              <w:rPr>
                <w:rFonts w:ascii="Times New Roman" w:eastAsia="Times New Roman" w:hAnsi="Times New Roman" w:cs="Times New Roman"/>
                <w:bCs/>
                <w:iCs/>
                <w:sz w:val="20"/>
                <w:szCs w:val="20"/>
                <w:lang w:val="ro-RO" w:eastAsia="ro-RO"/>
              </w:rPr>
              <w:t xml:space="preserve"> – oricare dintre următoarele:</w:t>
            </w:r>
          </w:p>
          <w:p w14:paraId="66A1F96F" w14:textId="77777777" w:rsidR="00C951EC" w:rsidRPr="00C951EC" w:rsidRDefault="00C951EC" w:rsidP="00C951EC">
            <w:pPr>
              <w:spacing w:after="0" w:line="240" w:lineRule="auto"/>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a)</w:t>
            </w:r>
            <w:r>
              <w:rPr>
                <w:rFonts w:ascii="Times New Roman" w:eastAsia="Times New Roman" w:hAnsi="Times New Roman" w:cs="Times New Roman"/>
                <w:bCs/>
                <w:iCs/>
                <w:sz w:val="20"/>
                <w:szCs w:val="20"/>
                <w:lang w:val="ro-RO" w:eastAsia="ro-RO"/>
              </w:rPr>
              <w:t xml:space="preserve"> </w:t>
            </w:r>
            <w:r w:rsidRPr="00C951EC">
              <w:rPr>
                <w:rFonts w:ascii="Times New Roman" w:eastAsia="Times New Roman" w:hAnsi="Times New Roman" w:cs="Times New Roman"/>
                <w:bCs/>
                <w:iCs/>
                <w:sz w:val="20"/>
                <w:szCs w:val="20"/>
                <w:lang w:val="ro-RO" w:eastAsia="ro-RO"/>
              </w:rPr>
              <w:t xml:space="preserve">bancă supravegheată în temeiul Legii nr.202/2017 privind activitatea băncilor, denumită în continuare instituție de credit din Republica Moldova; </w:t>
            </w:r>
          </w:p>
          <w:p w14:paraId="6EEAF8F4" w14:textId="77777777" w:rsidR="00FF2FF9" w:rsidRPr="00C71263" w:rsidRDefault="00C951EC" w:rsidP="00C951EC">
            <w:pPr>
              <w:spacing w:after="0" w:line="240" w:lineRule="auto"/>
              <w:rPr>
                <w:rFonts w:ascii="Times New Roman" w:eastAsia="Times New Roman" w:hAnsi="Times New Roman" w:cs="Times New Roman"/>
                <w:b/>
                <w:iCs/>
                <w:sz w:val="20"/>
                <w:szCs w:val="20"/>
                <w:lang w:val="ro-RO" w:eastAsia="ro-RO"/>
              </w:rPr>
            </w:pPr>
            <w:r w:rsidRPr="00C951EC">
              <w:rPr>
                <w:rFonts w:ascii="Times New Roman" w:eastAsia="Times New Roman" w:hAnsi="Times New Roman" w:cs="Times New Roman"/>
                <w:bCs/>
                <w:iCs/>
                <w:sz w:val="20"/>
                <w:szCs w:val="20"/>
                <w:lang w:val="ro-RO" w:eastAsia="ro-RO"/>
              </w:rPr>
              <w:t>b)</w:t>
            </w:r>
            <w:r w:rsidR="000231B9">
              <w:rPr>
                <w:rFonts w:ascii="Times New Roman" w:eastAsia="Times New Roman" w:hAnsi="Times New Roman" w:cs="Times New Roman"/>
                <w:bCs/>
                <w:iCs/>
                <w:sz w:val="20"/>
                <w:szCs w:val="20"/>
                <w:lang w:val="ro-RO" w:eastAsia="ro-RO"/>
              </w:rPr>
              <w:t xml:space="preserve"> </w:t>
            </w:r>
            <w:r w:rsidRPr="00C951EC">
              <w:rPr>
                <w:rFonts w:ascii="Times New Roman" w:eastAsia="Times New Roman" w:hAnsi="Times New Roman" w:cs="Times New Roman"/>
                <w:bCs/>
                <w:iCs/>
                <w:sz w:val="20"/>
                <w:szCs w:val="20"/>
                <w:lang w:val="ro-RO" w:eastAsia="ro-RO"/>
              </w:rPr>
              <w:t>o entitate autorizată într-un stat membru ca instituție de credit, potrivit legislației aplicabile în statul membru respectiv;</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75D9C7B" w14:textId="77777777" w:rsidR="00FF2FF9" w:rsidRDefault="00FF2FF9" w:rsidP="00FF2FF9">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6D48EDA0" w14:textId="77777777" w:rsidR="00263797" w:rsidRDefault="00263797" w:rsidP="00FF2FF9">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1D11640" w14:textId="77777777" w:rsidR="00FF2FF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4</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4F6A4B" w14:textId="77777777" w:rsidR="00FF2FF9" w:rsidRPr="00D85456" w:rsidRDefault="00FF2FF9" w:rsidP="00FF2FF9">
            <w:pPr>
              <w:spacing w:after="0" w:line="240" w:lineRule="auto"/>
              <w:jc w:val="both"/>
              <w:rPr>
                <w:rFonts w:ascii="Times New Roman" w:hAnsi="Times New Roman" w:cs="Times New Roman"/>
                <w:sz w:val="20"/>
                <w:szCs w:val="20"/>
                <w:lang w:eastAsia="ro-RO"/>
              </w:rPr>
            </w:pPr>
            <w:r w:rsidRPr="00D85456">
              <w:rPr>
                <w:rFonts w:ascii="Times New Roman" w:hAnsi="Times New Roman" w:cs="Times New Roman"/>
                <w:sz w:val="20"/>
                <w:szCs w:val="20"/>
                <w:lang w:eastAsia="ro-RO"/>
              </w:rPr>
              <w:t>Atenționăm că, proiectul la art.4 alin.(1) substituie noțiunea de „bancă” cu noțiunea de „instituție de credit”, deși reglementările vizate privesc în mod nemijlocit procedurile aplicabile băncilor, iar cadrul normativ național, inclusiv Legea nr.202/2017 privind activitatea băncilor, operează preponderent cu noțiunea de „bancă”.</w:t>
            </w:r>
          </w:p>
          <w:p w14:paraId="1AAD9F4F" w14:textId="77777777" w:rsidR="00FF2FF9" w:rsidRPr="00D85456" w:rsidRDefault="00FF2FF9" w:rsidP="00FF2FF9">
            <w:pPr>
              <w:spacing w:after="0" w:line="240" w:lineRule="auto"/>
              <w:jc w:val="both"/>
              <w:rPr>
                <w:rFonts w:ascii="Times New Roman" w:hAnsi="Times New Roman" w:cs="Times New Roman"/>
                <w:sz w:val="20"/>
                <w:szCs w:val="20"/>
                <w:lang w:eastAsia="ro-RO"/>
              </w:rPr>
            </w:pPr>
            <w:r w:rsidRPr="00D85456">
              <w:rPr>
                <w:rFonts w:ascii="Times New Roman" w:hAnsi="Times New Roman" w:cs="Times New Roman"/>
                <w:sz w:val="20"/>
                <w:szCs w:val="20"/>
                <w:lang w:eastAsia="ro-RO"/>
              </w:rPr>
              <w:t xml:space="preserve">În acest context, considerăm necesară justificarea conceptuală și juridică a modificării terminologiei utilizate, precum și clarificarea raportului dintre noțiunile de „bancă” și „instituție de credit”. În lipsa unor explicații corespunzătoare, utilizarea concomitentă a celor două noțiuni în cadrul legislației naționale poate genera dificultăți de interpretare și aplicare a normelor. Totodată, se recomandă verificarea uniformității terminologice a proiectului prin raportare la </w:t>
            </w:r>
            <w:r w:rsidRPr="00D85456">
              <w:rPr>
                <w:rFonts w:ascii="Times New Roman" w:hAnsi="Times New Roman" w:cs="Times New Roman"/>
                <w:sz w:val="20"/>
                <w:szCs w:val="20"/>
                <w:lang w:eastAsia="ro-RO"/>
              </w:rPr>
              <w:lastRenderedPageBreak/>
              <w:t>actele normative sectoriale incidente și la terminologia consacrată de legislația bancară națională.</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54815" w14:textId="77777777" w:rsidR="006D3F44" w:rsidRDefault="006D3F44" w:rsidP="00DA402E">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lastRenderedPageBreak/>
              <w:t>Nu se accept</w:t>
            </w:r>
            <w:r w:rsidR="00CD0052">
              <w:rPr>
                <w:rFonts w:ascii="Times New Roman" w:hAnsi="Times New Roman" w:cs="Times New Roman"/>
                <w:b/>
                <w:sz w:val="20"/>
                <w:szCs w:val="20"/>
                <w:lang w:val="ro-RO" w:eastAsia="ro-RO"/>
              </w:rPr>
              <w:t>ă</w:t>
            </w:r>
          </w:p>
          <w:p w14:paraId="586B11D0" w14:textId="77777777" w:rsidR="00F0009F" w:rsidRDefault="00F0009F" w:rsidP="00DA402E">
            <w:pPr>
              <w:spacing w:after="0" w:line="240" w:lineRule="auto"/>
              <w:jc w:val="both"/>
              <w:rPr>
                <w:rFonts w:ascii="Times New Roman" w:hAnsi="Times New Roman" w:cs="Times New Roman"/>
                <w:bCs/>
                <w:sz w:val="20"/>
                <w:szCs w:val="20"/>
                <w:lang w:eastAsia="ro-RO"/>
              </w:rPr>
            </w:pPr>
            <w:r w:rsidRPr="00F0009F">
              <w:rPr>
                <w:rFonts w:ascii="Times New Roman" w:hAnsi="Times New Roman" w:cs="Times New Roman"/>
                <w:bCs/>
                <w:sz w:val="20"/>
                <w:szCs w:val="20"/>
                <w:lang w:eastAsia="ro-RO"/>
              </w:rPr>
              <w:t>Raportul dintre cele două noțiuni este clarificat expres în chiar textul proiectului: art.4 alin.(1) pct.38) definește „instituția de credit</w:t>
            </w:r>
            <w:r w:rsidR="00DA402E">
              <w:rPr>
                <w:rFonts w:ascii="Times New Roman" w:hAnsi="Times New Roman" w:cs="Times New Roman"/>
                <w:bCs/>
                <w:sz w:val="20"/>
                <w:szCs w:val="20"/>
                <w:lang w:eastAsia="ro-RO"/>
              </w:rPr>
              <w:t>”</w:t>
            </w:r>
            <w:r w:rsidRPr="00F0009F">
              <w:rPr>
                <w:rFonts w:ascii="Times New Roman" w:hAnsi="Times New Roman" w:cs="Times New Roman"/>
                <w:bCs/>
                <w:sz w:val="20"/>
                <w:szCs w:val="20"/>
                <w:lang w:eastAsia="ro-RO"/>
              </w:rPr>
              <w:t xml:space="preserve"> drept „a) bancă supravegheată în temeiul Legii nr.202/2017 privind activitatea băncilor, denumită în continuare instituție de credit din Republica Moldova; b) o entitate autorizată într-un stat membru ca instituție de credit…</w:t>
            </w:r>
            <w:r>
              <w:rPr>
                <w:rFonts w:ascii="Times New Roman" w:hAnsi="Times New Roman" w:cs="Times New Roman"/>
                <w:bCs/>
                <w:sz w:val="20"/>
                <w:szCs w:val="20"/>
                <w:lang w:eastAsia="ro-RO"/>
              </w:rPr>
              <w:t>”</w:t>
            </w:r>
            <w:r w:rsidRPr="00F0009F">
              <w:rPr>
                <w:rFonts w:ascii="Times New Roman" w:hAnsi="Times New Roman" w:cs="Times New Roman"/>
                <w:bCs/>
                <w:sz w:val="20"/>
                <w:szCs w:val="20"/>
                <w:lang w:eastAsia="ro-RO"/>
              </w:rPr>
              <w:t xml:space="preserve">. Astfel, banca autorizată și supravegheată de Banca Națională a Moldovei în temeiul Legii nr.202/2017 este, în sensul prezentei legi, instituție de credit, fără a se </w:t>
            </w:r>
            <w:r w:rsidRPr="00F0009F">
              <w:rPr>
                <w:rFonts w:ascii="Times New Roman" w:hAnsi="Times New Roman" w:cs="Times New Roman"/>
                <w:bCs/>
                <w:sz w:val="20"/>
                <w:szCs w:val="20"/>
                <w:lang w:eastAsia="ro-RO"/>
              </w:rPr>
              <w:lastRenderedPageBreak/>
              <w:t>institui o categorie nouă ori un paralelism conceptual.</w:t>
            </w:r>
          </w:p>
          <w:p w14:paraId="1E973DA5" w14:textId="77777777" w:rsidR="00DA402E" w:rsidRDefault="00DA402E" w:rsidP="00DA402E">
            <w:pPr>
              <w:spacing w:after="0" w:line="240" w:lineRule="auto"/>
              <w:jc w:val="both"/>
              <w:rPr>
                <w:rFonts w:ascii="Times New Roman" w:hAnsi="Times New Roman" w:cs="Times New Roman"/>
                <w:bCs/>
                <w:sz w:val="20"/>
                <w:szCs w:val="20"/>
                <w:lang w:val="ro-RO" w:eastAsia="ro-RO"/>
              </w:rPr>
            </w:pPr>
            <w:r w:rsidRPr="00DA402E">
              <w:rPr>
                <w:rFonts w:ascii="Times New Roman" w:hAnsi="Times New Roman" w:cs="Times New Roman"/>
                <w:bCs/>
                <w:sz w:val="20"/>
                <w:szCs w:val="20"/>
                <w:lang w:val="ro-RO" w:eastAsia="ro-RO"/>
              </w:rPr>
              <w:t xml:space="preserve">Totodată, soluția este consecventă cu avizul </w:t>
            </w:r>
            <w:r>
              <w:rPr>
                <w:rFonts w:ascii="Times New Roman" w:hAnsi="Times New Roman" w:cs="Times New Roman"/>
                <w:bCs/>
                <w:sz w:val="20"/>
                <w:szCs w:val="20"/>
                <w:lang w:val="ro-RO" w:eastAsia="ro-RO"/>
              </w:rPr>
              <w:t>BNM</w:t>
            </w:r>
            <w:r w:rsidRPr="00DA402E">
              <w:rPr>
                <w:rFonts w:ascii="Times New Roman" w:hAnsi="Times New Roman" w:cs="Times New Roman"/>
                <w:bCs/>
                <w:sz w:val="20"/>
                <w:szCs w:val="20"/>
                <w:lang w:val="ro-RO" w:eastAsia="ro-RO"/>
              </w:rPr>
              <w:t xml:space="preserve"> (scrisoarea nr.31-002/64/2418 din 14.05.2026; pct.1 din prezenta sinteză, secțiunea avizare), prin care BNM a solicitat alinierea terminologiei și </w:t>
            </w:r>
            <w:r w:rsidRPr="00DA402E">
              <w:rPr>
                <w:rFonts w:ascii="Times New Roman" w:hAnsi="Times New Roman" w:cs="Times New Roman"/>
                <w:bCs/>
                <w:sz w:val="20"/>
                <w:szCs w:val="20"/>
                <w:u w:val="single"/>
                <w:lang w:val="ro-RO" w:eastAsia="ro-RO"/>
              </w:rPr>
              <w:t>excluderea referințelor la „bănci”</w:t>
            </w:r>
            <w:r w:rsidRPr="00DA402E">
              <w:rPr>
                <w:rFonts w:ascii="Times New Roman" w:hAnsi="Times New Roman" w:cs="Times New Roman"/>
                <w:bCs/>
                <w:sz w:val="20"/>
                <w:szCs w:val="20"/>
                <w:lang w:val="ro-RO" w:eastAsia="ro-RO"/>
              </w:rPr>
              <w:t>, precum și cu procesul legislativ în curs de modificare a actelor normative privind activitatea băncilor, prin care cuvântul „bancă</w:t>
            </w:r>
            <w:r>
              <w:rPr>
                <w:rFonts w:ascii="Times New Roman" w:hAnsi="Times New Roman" w:cs="Times New Roman"/>
                <w:bCs/>
                <w:sz w:val="20"/>
                <w:szCs w:val="20"/>
                <w:lang w:val="ro-RO" w:eastAsia="ro-RO"/>
              </w:rPr>
              <w:t>”</w:t>
            </w:r>
            <w:r w:rsidRPr="00DA402E">
              <w:rPr>
                <w:rFonts w:ascii="Times New Roman" w:hAnsi="Times New Roman" w:cs="Times New Roman"/>
                <w:bCs/>
                <w:sz w:val="20"/>
                <w:szCs w:val="20"/>
                <w:lang w:val="ro-RO" w:eastAsia="ro-RO"/>
              </w:rPr>
              <w:t xml:space="preserve"> urmează a fi substituit cu sintagma „instituție de credit</w:t>
            </w:r>
            <w:r>
              <w:rPr>
                <w:rFonts w:ascii="Times New Roman" w:hAnsi="Times New Roman" w:cs="Times New Roman"/>
                <w:bCs/>
                <w:sz w:val="20"/>
                <w:szCs w:val="20"/>
                <w:lang w:val="ro-RO" w:eastAsia="ro-RO"/>
              </w:rPr>
              <w:t>”</w:t>
            </w:r>
            <w:r w:rsidRPr="00DA402E">
              <w:rPr>
                <w:rFonts w:ascii="Times New Roman" w:hAnsi="Times New Roman" w:cs="Times New Roman"/>
                <w:bCs/>
                <w:sz w:val="20"/>
                <w:szCs w:val="20"/>
                <w:lang w:val="ro-RO" w:eastAsia="ro-RO"/>
              </w:rPr>
              <w:t xml:space="preserve">. </w:t>
            </w:r>
            <w:r>
              <w:rPr>
                <w:rFonts w:ascii="Times New Roman" w:hAnsi="Times New Roman" w:cs="Times New Roman"/>
                <w:bCs/>
                <w:sz w:val="20"/>
                <w:szCs w:val="20"/>
                <w:lang w:val="ro-RO" w:eastAsia="ro-RO"/>
              </w:rPr>
              <w:t>Deci, r</w:t>
            </w:r>
            <w:r w:rsidRPr="00DA402E">
              <w:rPr>
                <w:rFonts w:ascii="Times New Roman" w:hAnsi="Times New Roman" w:cs="Times New Roman"/>
                <w:bCs/>
                <w:sz w:val="20"/>
                <w:szCs w:val="20"/>
                <w:lang w:val="ro-RO" w:eastAsia="ro-RO"/>
              </w:rPr>
              <w:t>evenirea la termenul „bancă</w:t>
            </w:r>
            <w:r>
              <w:rPr>
                <w:rFonts w:ascii="Times New Roman" w:hAnsi="Times New Roman" w:cs="Times New Roman"/>
                <w:bCs/>
                <w:sz w:val="20"/>
                <w:szCs w:val="20"/>
                <w:lang w:val="ro-RO" w:eastAsia="ro-RO"/>
              </w:rPr>
              <w:t>”</w:t>
            </w:r>
            <w:r w:rsidRPr="00DA402E">
              <w:rPr>
                <w:rFonts w:ascii="Times New Roman" w:hAnsi="Times New Roman" w:cs="Times New Roman"/>
                <w:bCs/>
                <w:sz w:val="20"/>
                <w:szCs w:val="20"/>
                <w:lang w:val="ro-RO" w:eastAsia="ro-RO"/>
              </w:rPr>
              <w:t xml:space="preserve"> ar contraveni </w:t>
            </w:r>
            <w:r>
              <w:rPr>
                <w:rFonts w:ascii="Times New Roman" w:hAnsi="Times New Roman" w:cs="Times New Roman"/>
                <w:bCs/>
                <w:sz w:val="20"/>
                <w:szCs w:val="20"/>
                <w:lang w:val="ro-RO" w:eastAsia="ro-RO"/>
              </w:rPr>
              <w:t>și avizului emis de BNM</w:t>
            </w:r>
            <w:r w:rsidRPr="00DA402E">
              <w:rPr>
                <w:rFonts w:ascii="Times New Roman" w:hAnsi="Times New Roman" w:cs="Times New Roman"/>
                <w:bCs/>
                <w:sz w:val="20"/>
                <w:szCs w:val="20"/>
                <w:lang w:val="ro-RO" w:eastAsia="ro-RO"/>
              </w:rPr>
              <w:t>.</w:t>
            </w:r>
          </w:p>
          <w:p w14:paraId="2B2497B1" w14:textId="77777777" w:rsidR="00F0009F" w:rsidRDefault="00F0009F" w:rsidP="00DA402E">
            <w:pPr>
              <w:spacing w:after="0" w:line="240" w:lineRule="auto"/>
              <w:jc w:val="both"/>
              <w:rPr>
                <w:rFonts w:ascii="Times New Roman" w:hAnsi="Times New Roman" w:cs="Times New Roman"/>
                <w:bCs/>
                <w:sz w:val="20"/>
                <w:szCs w:val="20"/>
                <w:lang w:val="ro-RO" w:eastAsia="ro-RO"/>
              </w:rPr>
            </w:pPr>
            <w:r w:rsidRPr="00F0009F">
              <w:rPr>
                <w:rFonts w:ascii="Times New Roman" w:hAnsi="Times New Roman" w:cs="Times New Roman"/>
                <w:bCs/>
                <w:sz w:val="20"/>
                <w:szCs w:val="20"/>
                <w:lang w:val="ro-RO" w:eastAsia="ro-RO"/>
              </w:rPr>
              <w:t>Cerința privind uniformitatea terminologică a fost verificată: noțiunea „instituție de credit" este utilizată în mod consecvent pe întreg cuprinsul proiectului, termenul „bancă</w:t>
            </w:r>
            <w:r>
              <w:rPr>
                <w:rFonts w:ascii="Times New Roman" w:hAnsi="Times New Roman" w:cs="Times New Roman"/>
                <w:bCs/>
                <w:sz w:val="20"/>
                <w:szCs w:val="20"/>
                <w:lang w:val="ro-RO" w:eastAsia="ro-RO"/>
              </w:rPr>
              <w:t>”</w:t>
            </w:r>
            <w:r w:rsidRPr="00F0009F">
              <w:rPr>
                <w:rFonts w:ascii="Times New Roman" w:hAnsi="Times New Roman" w:cs="Times New Roman"/>
                <w:bCs/>
                <w:sz w:val="20"/>
                <w:szCs w:val="20"/>
                <w:lang w:val="ro-RO" w:eastAsia="ro-RO"/>
              </w:rPr>
              <w:t>/„bănci</w:t>
            </w:r>
            <w:r>
              <w:rPr>
                <w:rFonts w:ascii="Times New Roman" w:hAnsi="Times New Roman" w:cs="Times New Roman"/>
                <w:bCs/>
                <w:sz w:val="20"/>
                <w:szCs w:val="20"/>
                <w:lang w:val="ro-RO" w:eastAsia="ro-RO"/>
              </w:rPr>
              <w:t>”</w:t>
            </w:r>
            <w:r w:rsidRPr="00F0009F">
              <w:rPr>
                <w:rFonts w:ascii="Times New Roman" w:hAnsi="Times New Roman" w:cs="Times New Roman"/>
                <w:bCs/>
                <w:sz w:val="20"/>
                <w:szCs w:val="20"/>
                <w:lang w:val="ro-RO" w:eastAsia="ro-RO"/>
              </w:rPr>
              <w:t xml:space="preserve"> fiind păstrat numai acolo unde este necesar: (i) în denumirile oficiale ale actelor normative la care se face trimitere (Legea nr.202/2017 privind activitatea băncilor, Legea nr.160/2023 cu privire la garantarea depozitelor în bănci, Legea nr.232/2016 privind redresarea și rezoluția băncilor); (ii) în noțiunea distinctă de „bancă centrală</w:t>
            </w:r>
            <w:r w:rsidR="00DA402E">
              <w:rPr>
                <w:rFonts w:ascii="Times New Roman" w:hAnsi="Times New Roman" w:cs="Times New Roman"/>
                <w:bCs/>
                <w:sz w:val="20"/>
                <w:szCs w:val="20"/>
                <w:lang w:val="ro-RO" w:eastAsia="ro-RO"/>
              </w:rPr>
              <w:t>”</w:t>
            </w:r>
            <w:r w:rsidRPr="00F0009F">
              <w:rPr>
                <w:rFonts w:ascii="Times New Roman" w:hAnsi="Times New Roman" w:cs="Times New Roman"/>
                <w:bCs/>
                <w:sz w:val="20"/>
                <w:szCs w:val="20"/>
                <w:lang w:val="ro-RO" w:eastAsia="ro-RO"/>
              </w:rPr>
              <w:t>; și (iii) în termenii consacrați ai acquis-ului (de exemplu, „bancă de importanță sistemică globală</w:t>
            </w:r>
            <w:r w:rsidR="00DA402E">
              <w:rPr>
                <w:rFonts w:ascii="Times New Roman" w:hAnsi="Times New Roman" w:cs="Times New Roman"/>
                <w:bCs/>
                <w:sz w:val="20"/>
                <w:szCs w:val="20"/>
                <w:lang w:val="ro-RO" w:eastAsia="ro-RO"/>
              </w:rPr>
              <w:t>”</w:t>
            </w:r>
            <w:r w:rsidRPr="00F0009F">
              <w:rPr>
                <w:rFonts w:ascii="Times New Roman" w:hAnsi="Times New Roman" w:cs="Times New Roman"/>
                <w:bCs/>
                <w:sz w:val="20"/>
                <w:szCs w:val="20"/>
                <w:lang w:val="ro-RO" w:eastAsia="ro-RO"/>
              </w:rPr>
              <w:t>).</w:t>
            </w:r>
          </w:p>
          <w:p w14:paraId="35DC3658" w14:textId="77777777" w:rsidR="00B05BE7" w:rsidRPr="00A55A88" w:rsidRDefault="00B05BE7" w:rsidP="00DA402E">
            <w:pPr>
              <w:spacing w:after="0"/>
              <w:jc w:val="both"/>
              <w:rPr>
                <w:rFonts w:ascii="Times New Roman" w:hAnsi="Times New Roman" w:cs="Times New Roman"/>
                <w:bCs/>
                <w:sz w:val="20"/>
                <w:szCs w:val="20"/>
                <w:lang w:val="ro-RO" w:eastAsia="ro-RO"/>
              </w:rPr>
            </w:pPr>
          </w:p>
        </w:tc>
      </w:tr>
      <w:tr w:rsidR="00FF2FF9" w:rsidRPr="009B7C97" w14:paraId="70094542"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A1722" w14:textId="77777777" w:rsidR="000231B9" w:rsidRPr="00C951EC" w:rsidRDefault="000231B9" w:rsidP="000231B9">
            <w:pPr>
              <w:spacing w:after="0" w:line="240" w:lineRule="auto"/>
              <w:rPr>
                <w:rFonts w:ascii="Times New Roman" w:eastAsia="Times New Roman" w:hAnsi="Times New Roman" w:cs="Times New Roman"/>
                <w:b/>
                <w:bCs/>
                <w:iCs/>
                <w:sz w:val="20"/>
                <w:szCs w:val="20"/>
                <w:lang w:val="ro-RO" w:eastAsia="ro-RO"/>
              </w:rPr>
            </w:pPr>
            <w:r w:rsidRPr="00C951EC">
              <w:rPr>
                <w:rFonts w:ascii="Times New Roman" w:eastAsia="Times New Roman" w:hAnsi="Times New Roman" w:cs="Times New Roman"/>
                <w:b/>
                <w:bCs/>
                <w:iCs/>
                <w:sz w:val="20"/>
                <w:szCs w:val="20"/>
                <w:lang w:val="ro-RO" w:eastAsia="ro-RO"/>
              </w:rPr>
              <w:lastRenderedPageBreak/>
              <w:t>Articolul 4. Noțiuni principale</w:t>
            </w:r>
          </w:p>
          <w:p w14:paraId="0D467654" w14:textId="77777777" w:rsidR="000231B9" w:rsidRPr="00C951EC" w:rsidRDefault="000231B9" w:rsidP="000231B9">
            <w:pPr>
              <w:spacing w:after="0" w:line="240" w:lineRule="auto"/>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(1) În sensul prezentei legi, următoarele noţiuni principale semnifică:</w:t>
            </w:r>
          </w:p>
          <w:p w14:paraId="63363B79" w14:textId="77777777" w:rsidR="000231B9" w:rsidRDefault="000231B9" w:rsidP="000231B9">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w:t>
            </w:r>
          </w:p>
          <w:p w14:paraId="32946B52" w14:textId="77777777" w:rsidR="000231B9" w:rsidRPr="000231B9" w:rsidRDefault="000231B9" w:rsidP="000231B9">
            <w:pPr>
              <w:spacing w:after="0" w:line="240" w:lineRule="auto"/>
              <w:rPr>
                <w:rFonts w:ascii="Times New Roman" w:eastAsia="Times New Roman" w:hAnsi="Times New Roman" w:cs="Times New Roman"/>
                <w:bCs/>
                <w:iCs/>
                <w:sz w:val="20"/>
                <w:szCs w:val="20"/>
                <w:lang w:val="ro-RO" w:eastAsia="ro-RO"/>
              </w:rPr>
            </w:pPr>
            <w:r w:rsidRPr="000231B9">
              <w:rPr>
                <w:rFonts w:ascii="Times New Roman" w:eastAsia="Times New Roman" w:hAnsi="Times New Roman" w:cs="Times New Roman"/>
                <w:bCs/>
                <w:i/>
                <w:iCs/>
                <w:sz w:val="20"/>
                <w:szCs w:val="20"/>
                <w:lang w:val="ro-RO" w:eastAsia="ro-RO"/>
              </w:rPr>
              <w:lastRenderedPageBreak/>
              <w:t>derivate</w:t>
            </w:r>
            <w:r w:rsidRPr="000231B9">
              <w:rPr>
                <w:rFonts w:ascii="Times New Roman" w:eastAsia="Times New Roman" w:hAnsi="Times New Roman" w:cs="Times New Roman"/>
                <w:bCs/>
                <w:iCs/>
                <w:sz w:val="20"/>
                <w:szCs w:val="20"/>
                <w:lang w:val="ro-RO" w:eastAsia="ro-RO"/>
              </w:rPr>
              <w:t xml:space="preserve"> – instrumentele financiare prevăzute la pct.82) lit.c) al prezentului articol și art.5 lit.d)-j);</w:t>
            </w:r>
          </w:p>
          <w:p w14:paraId="02E604E1" w14:textId="77777777" w:rsidR="00FF2FF9" w:rsidRPr="00C71263" w:rsidRDefault="00FF2FF9" w:rsidP="00FF2FF9">
            <w:pPr>
              <w:spacing w:after="0" w:line="240" w:lineRule="auto"/>
              <w:rPr>
                <w:rFonts w:ascii="Times New Roman" w:eastAsia="Times New Roman" w:hAnsi="Times New Roman" w:cs="Times New Roman"/>
                <w:b/>
                <w:iCs/>
                <w:sz w:val="20"/>
                <w:szCs w:val="20"/>
                <w:lang w:val="ro-RO" w:eastAsia="ro-RO"/>
              </w:rPr>
            </w:pP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D55E848" w14:textId="77777777" w:rsidR="00FF2FF9" w:rsidRDefault="00FF2FF9" w:rsidP="00FF2FF9">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Ministerul Justiției</w:t>
            </w:r>
          </w:p>
          <w:p w14:paraId="73BCE301" w14:textId="77777777" w:rsidR="00263797" w:rsidRDefault="00263797" w:rsidP="00FF2FF9">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05D8DD5" w14:textId="77777777" w:rsidR="00FF2FF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5</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16F096" w14:textId="77777777" w:rsidR="00FF2FF9" w:rsidRPr="00B05BE7" w:rsidRDefault="00FF2FF9" w:rsidP="00FF2FF9">
            <w:pPr>
              <w:spacing w:after="0" w:line="240" w:lineRule="auto"/>
              <w:jc w:val="both"/>
              <w:rPr>
                <w:rFonts w:ascii="Times New Roman" w:hAnsi="Times New Roman" w:cs="Times New Roman"/>
                <w:sz w:val="20"/>
                <w:szCs w:val="20"/>
                <w:lang w:eastAsia="ro-RO"/>
              </w:rPr>
            </w:pPr>
            <w:r w:rsidRPr="00B05BE7">
              <w:rPr>
                <w:rFonts w:ascii="Times New Roman" w:hAnsi="Times New Roman" w:cs="Times New Roman"/>
                <w:sz w:val="20"/>
                <w:szCs w:val="20"/>
                <w:lang w:eastAsia="ro-RO"/>
              </w:rPr>
              <w:t xml:space="preserve">Adițional, cu privire la definiția noțiunii „derivate”, se constată că trimiterea la „pct.82) lit.c) al prezentului articol” este eronată din punct de vedere tehnico-juridic, întrucât articolul respectiv nu este structurat în puncte numerotate, ci doar în alineate. În consecință, referința la „pct.82)” nu permite identificarea clară și neechivocă a normei la care se face trimitere. În acest context, considerăm </w:t>
            </w:r>
            <w:r w:rsidRPr="00B05BE7">
              <w:rPr>
                <w:rFonts w:ascii="Times New Roman" w:hAnsi="Times New Roman" w:cs="Times New Roman"/>
                <w:sz w:val="20"/>
                <w:szCs w:val="20"/>
                <w:lang w:eastAsia="ro-RO"/>
              </w:rPr>
              <w:lastRenderedPageBreak/>
              <w:t>necesară revizuirea redactării dispoziției și corectarea trimiterilor interne, astfel încât acestea să corespundă structurii reale a articolului. Obiecția dată este aplicabilă și pentru art.17 alin.(1); art.122 alin.(4) lit.d); art.124 alin.(3); art.168 alin.(6) pct.6) lit.a) și alin.(11).</w:t>
            </w:r>
          </w:p>
          <w:p w14:paraId="5B18538D" w14:textId="77777777" w:rsidR="00FF2FF9" w:rsidRPr="00B05BE7" w:rsidRDefault="00FF2FF9" w:rsidP="00FF2FF9">
            <w:pPr>
              <w:spacing w:after="0" w:line="240" w:lineRule="auto"/>
              <w:jc w:val="both"/>
              <w:rPr>
                <w:rFonts w:ascii="Times New Roman" w:hAnsi="Times New Roman" w:cs="Times New Roman"/>
                <w:sz w:val="20"/>
                <w:szCs w:val="20"/>
                <w:lang w:eastAsia="ro-RO"/>
              </w:rPr>
            </w:pPr>
            <w:r w:rsidRPr="00B05BE7">
              <w:rPr>
                <w:rFonts w:ascii="Times New Roman" w:hAnsi="Times New Roman" w:cs="Times New Roman"/>
                <w:sz w:val="20"/>
                <w:szCs w:val="20"/>
                <w:lang w:eastAsia="ro-RO"/>
              </w:rPr>
              <w:t xml:space="preserve">Totodată, atragem atenția că, potrivit art.51 alin.(6) din Legea nr.100/2017, alineatele sunt însemnate succesiv cu numere ordinare, exprimate prin cifre arabe, luate între paranteze rotunde, iar acestea pot fi divizate în litere. Numai în cazul unei structuri complexe a actului normativ, alineatul poate fi divizat în puncte, însemnate cu numere ordinare urmate de paranteză. Prin urmare, utilizarea unei trimiteri la un „pct.82)” este incompatibilă cu structura actuală a articolului și creează incertitudine cu privire la norma vizată. </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A36BE" w14:textId="77777777" w:rsidR="00F0009F" w:rsidRDefault="00444931" w:rsidP="00FF2FF9">
            <w:pPr>
              <w:spacing w:after="0" w:line="240" w:lineRule="auto"/>
              <w:jc w:val="both"/>
              <w:rPr>
                <w:rFonts w:ascii="Times New Roman" w:hAnsi="Times New Roman" w:cs="Times New Roman"/>
                <w:b/>
                <w:sz w:val="20"/>
                <w:szCs w:val="20"/>
                <w:lang w:val="ro-RO" w:eastAsia="ro-RO"/>
              </w:rPr>
            </w:pPr>
            <w:r w:rsidRPr="00B05BE7">
              <w:rPr>
                <w:rFonts w:ascii="Times New Roman" w:hAnsi="Times New Roman" w:cs="Times New Roman"/>
                <w:b/>
                <w:sz w:val="20"/>
                <w:szCs w:val="20"/>
                <w:lang w:val="ro-RO" w:eastAsia="ro-RO"/>
              </w:rPr>
              <w:lastRenderedPageBreak/>
              <w:t>Se acceptă</w:t>
            </w:r>
          </w:p>
          <w:p w14:paraId="6D22EDCA" w14:textId="77777777" w:rsidR="00F0009F" w:rsidRPr="00F0009F" w:rsidRDefault="00A72475" w:rsidP="00FF2FF9">
            <w:pPr>
              <w:spacing w:after="0" w:line="240" w:lineRule="auto"/>
              <w:jc w:val="both"/>
              <w:rPr>
                <w:rFonts w:ascii="Times New Roman" w:hAnsi="Times New Roman" w:cs="Times New Roman"/>
                <w:bCs/>
                <w:sz w:val="20"/>
                <w:szCs w:val="20"/>
                <w:lang w:val="ro-RO" w:eastAsia="ro-RO"/>
              </w:rPr>
            </w:pPr>
            <w:r w:rsidRPr="00A72475">
              <w:rPr>
                <w:rFonts w:ascii="Times New Roman" w:hAnsi="Times New Roman" w:cs="Times New Roman"/>
                <w:bCs/>
                <w:sz w:val="20"/>
                <w:szCs w:val="20"/>
                <w:lang w:val="ro-RO" w:eastAsia="ro-RO"/>
              </w:rPr>
              <w:t>Art.4 alin.(1) a fost restructurat prin numerotarea succesivă a noțiunilor în punct</w:t>
            </w:r>
            <w:r w:rsidR="0050209C">
              <w:rPr>
                <w:rFonts w:ascii="Times New Roman" w:hAnsi="Times New Roman" w:cs="Times New Roman"/>
                <w:bCs/>
                <w:sz w:val="20"/>
                <w:szCs w:val="20"/>
                <w:lang w:val="ro-RO" w:eastAsia="ro-RO"/>
              </w:rPr>
              <w:t xml:space="preserve">e, </w:t>
            </w:r>
            <w:r w:rsidRPr="00A72475">
              <w:rPr>
                <w:rFonts w:ascii="Times New Roman" w:hAnsi="Times New Roman" w:cs="Times New Roman"/>
                <w:bCs/>
                <w:sz w:val="20"/>
                <w:szCs w:val="20"/>
                <w:lang w:val="ro-RO" w:eastAsia="ro-RO"/>
              </w:rPr>
              <w:t>conform art.51 alin.(6) din Legea nr.100/2017</w:t>
            </w:r>
            <w:r w:rsidR="0050209C">
              <w:rPr>
                <w:rFonts w:ascii="Times New Roman" w:hAnsi="Times New Roman" w:cs="Times New Roman"/>
                <w:bCs/>
                <w:sz w:val="20"/>
                <w:szCs w:val="20"/>
                <w:lang w:val="ro-RO" w:eastAsia="ro-RO"/>
              </w:rPr>
              <w:t>.</w:t>
            </w:r>
          </w:p>
        </w:tc>
      </w:tr>
      <w:tr w:rsidR="00FF2FF9" w:rsidRPr="009B7C97" w14:paraId="1340D3F3"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2DDF4" w14:textId="77777777" w:rsidR="000231B9" w:rsidRPr="00C951EC" w:rsidRDefault="000231B9" w:rsidP="000231B9">
            <w:pPr>
              <w:spacing w:after="0" w:line="240" w:lineRule="auto"/>
              <w:rPr>
                <w:rFonts w:ascii="Times New Roman" w:eastAsia="Times New Roman" w:hAnsi="Times New Roman" w:cs="Times New Roman"/>
                <w:b/>
                <w:bCs/>
                <w:iCs/>
                <w:sz w:val="20"/>
                <w:szCs w:val="20"/>
                <w:lang w:val="ro-RO" w:eastAsia="ro-RO"/>
              </w:rPr>
            </w:pPr>
            <w:r w:rsidRPr="00C951EC">
              <w:rPr>
                <w:rFonts w:ascii="Times New Roman" w:eastAsia="Times New Roman" w:hAnsi="Times New Roman" w:cs="Times New Roman"/>
                <w:b/>
                <w:bCs/>
                <w:iCs/>
                <w:sz w:val="20"/>
                <w:szCs w:val="20"/>
                <w:lang w:val="ro-RO" w:eastAsia="ro-RO"/>
              </w:rPr>
              <w:t>Articolul 4. Noțiuni principale</w:t>
            </w:r>
          </w:p>
          <w:p w14:paraId="1EF99F8D" w14:textId="77777777" w:rsidR="000231B9" w:rsidRPr="00C951EC" w:rsidRDefault="000231B9" w:rsidP="000231B9">
            <w:pPr>
              <w:spacing w:after="0" w:line="240" w:lineRule="auto"/>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(1) În sensul prezentei legi, următoarele noţiuni principale semnifică:</w:t>
            </w:r>
          </w:p>
          <w:p w14:paraId="696AA9C1" w14:textId="77777777" w:rsidR="000231B9" w:rsidRDefault="000231B9" w:rsidP="000231B9">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t>...</w:t>
            </w:r>
          </w:p>
          <w:p w14:paraId="3BFF4088" w14:textId="77777777" w:rsidR="00FF2FF9" w:rsidRDefault="00FF2FF9" w:rsidP="00FF2FF9">
            <w:pPr>
              <w:spacing w:after="0" w:line="240" w:lineRule="auto"/>
              <w:rPr>
                <w:rFonts w:ascii="Times New Roman" w:eastAsia="Times New Roman" w:hAnsi="Times New Roman" w:cs="Times New Roman"/>
                <w:b/>
                <w:iCs/>
                <w:sz w:val="20"/>
                <w:szCs w:val="20"/>
                <w:lang w:val="ro-RO" w:eastAsia="ro-RO"/>
              </w:rPr>
            </w:pPr>
          </w:p>
          <w:p w14:paraId="4A5B7F11" w14:textId="77777777" w:rsidR="000231B9" w:rsidRPr="00C71263" w:rsidRDefault="000231B9" w:rsidP="00FF2FF9">
            <w:pPr>
              <w:spacing w:after="0" w:line="240" w:lineRule="auto"/>
              <w:rPr>
                <w:rFonts w:ascii="Times New Roman" w:eastAsia="Times New Roman" w:hAnsi="Times New Roman" w:cs="Times New Roman"/>
                <w:b/>
                <w:iCs/>
                <w:sz w:val="20"/>
                <w:szCs w:val="20"/>
                <w:lang w:val="ro-RO" w:eastAsia="ro-RO"/>
              </w:rPr>
            </w:pPr>
            <w:r w:rsidRPr="000231B9">
              <w:rPr>
                <w:rFonts w:ascii="Times New Roman" w:eastAsia="Times New Roman" w:hAnsi="Times New Roman" w:cs="Times New Roman"/>
                <w:bCs/>
                <w:i/>
                <w:sz w:val="20"/>
                <w:szCs w:val="20"/>
                <w:lang w:val="ro-RO" w:eastAsia="ro-RO"/>
              </w:rPr>
              <w:t xml:space="preserve">întreprinderi mici şi mijlocii </w:t>
            </w:r>
            <w:r w:rsidRPr="000231B9">
              <w:rPr>
                <w:rFonts w:ascii="Times New Roman" w:eastAsia="Times New Roman" w:hAnsi="Times New Roman" w:cs="Times New Roman"/>
                <w:bCs/>
                <w:iCs/>
                <w:sz w:val="20"/>
                <w:szCs w:val="20"/>
                <w:lang w:val="ro-RO" w:eastAsia="ro-RO"/>
              </w:rPr>
              <w:t>sau</w:t>
            </w:r>
            <w:r w:rsidRPr="000231B9">
              <w:rPr>
                <w:rFonts w:ascii="Times New Roman" w:eastAsia="Times New Roman" w:hAnsi="Times New Roman" w:cs="Times New Roman"/>
                <w:bCs/>
                <w:i/>
                <w:sz w:val="20"/>
                <w:szCs w:val="20"/>
                <w:lang w:val="ro-RO" w:eastAsia="ro-RO"/>
              </w:rPr>
              <w:t xml:space="preserve"> IMM-uri</w:t>
            </w:r>
            <w:r w:rsidRPr="000231B9">
              <w:rPr>
                <w:rFonts w:ascii="Times New Roman" w:eastAsia="Times New Roman" w:hAnsi="Times New Roman" w:cs="Times New Roman"/>
                <w:bCs/>
                <w:iCs/>
                <w:sz w:val="20"/>
                <w:szCs w:val="20"/>
                <w:lang w:val="ro-RO" w:eastAsia="ro-RO"/>
              </w:rPr>
              <w:t xml:space="preserve"> – societăţile a căror capitalizare bursieră, pe baza cotaţiilor de sfârşit de an din ultimii 3 ani calendaristici, a fost mai mică decât echivalentul în lei moldovenești a 200 milioane euro. Cursul de schimb avut în vedere la stabilirea echivalentului în lei moldovenești al sumei de 200 milioane euro este cel valabil pentru data de 31 decembrie a fiecărui an din ultimii 3 ani calendaristici;</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3268AF7" w14:textId="77777777" w:rsidR="00FF2FF9" w:rsidRDefault="00FF2FF9" w:rsidP="00FF2FF9">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68ADECC3" w14:textId="77777777" w:rsidR="00263797" w:rsidRDefault="00263797" w:rsidP="00FF2FF9">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360D62B" w14:textId="77777777" w:rsidR="00FF2FF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6</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52DF3" w14:textId="77777777" w:rsidR="00FF2FF9" w:rsidRPr="0050209C" w:rsidRDefault="00FF2FF9" w:rsidP="00FF2FF9">
            <w:pPr>
              <w:spacing w:after="0" w:line="240" w:lineRule="auto"/>
              <w:jc w:val="both"/>
              <w:rPr>
                <w:rFonts w:ascii="Times New Roman" w:hAnsi="Times New Roman" w:cs="Times New Roman"/>
                <w:sz w:val="20"/>
                <w:szCs w:val="20"/>
                <w:lang w:eastAsia="ro-RO"/>
              </w:rPr>
            </w:pPr>
            <w:r w:rsidRPr="0050209C">
              <w:rPr>
                <w:rFonts w:ascii="Times New Roman" w:hAnsi="Times New Roman" w:cs="Times New Roman"/>
                <w:sz w:val="20"/>
                <w:szCs w:val="20"/>
                <w:lang w:eastAsia="ro-RO"/>
              </w:rPr>
              <w:t>Adițional, definiția propusă pentru „întreprinderile mici și mijlocii (IMM-uri)” nu poate fi susținută în redacția actuală, deoarece instituie criterii de calificare diferite de cele prevăzute de cadrul legal general în materie. Astfel, proiectul definește IMM-urile prin raportare la capitalizarea bursieră a societății (sub echivalentul a 200 milioane euro, calculată pe baza cotațiilor de la sfârșitul ultimelor 3 ani calendaristici), în timp ce art.4 din Legea nr.179/2016 cu privire la întreprinderile mici și mijlocii stabilește în mod expres că întreprinderile mici și mijlocii sunt determinate în funcție de numărul mediu anual de salariați, cifra de afaceri anuală netă și/sau valoarea activelor totale.</w:t>
            </w:r>
          </w:p>
          <w:p w14:paraId="12C0A6B6" w14:textId="77777777" w:rsidR="00FF2FF9" w:rsidRPr="0050209C" w:rsidRDefault="00FF2FF9" w:rsidP="00FF2FF9">
            <w:pPr>
              <w:spacing w:after="0" w:line="240" w:lineRule="auto"/>
              <w:jc w:val="both"/>
              <w:rPr>
                <w:rFonts w:ascii="Times New Roman" w:hAnsi="Times New Roman" w:cs="Times New Roman"/>
                <w:sz w:val="20"/>
                <w:szCs w:val="20"/>
                <w:lang w:eastAsia="ro-RO"/>
              </w:rPr>
            </w:pPr>
            <w:r w:rsidRPr="0050209C">
              <w:rPr>
                <w:rFonts w:ascii="Times New Roman" w:hAnsi="Times New Roman" w:cs="Times New Roman"/>
                <w:sz w:val="20"/>
                <w:szCs w:val="20"/>
                <w:lang w:eastAsia="ro-RO"/>
              </w:rPr>
              <w:t xml:space="preserve">Totodată, proiectul prevede utilizarea cursului de schimb valabil la data de 31 decembrie a fiecăruia dintre ultimii 3 ani calendaristici pentru calcularea echivalentului  în lei moldovenești al plafonului exprimat în euro, în timp ce art.4 alin.(3) din Legea nr.179/2016 stabilește că, pentru determinarea echivalentului în lei moldovenești al valorilor exprimate în euro, se utilizează cursul mediu anual pentru anul de calcul. În aceste condiții, menținerea definiției propuse poate genera neclarități și aplicarea neuniformă a legislației, prin instituirea unor criterii paralele de încadrare a IMM-urilor. Se recomandă revizuirea prevederii prin corelarea acesteia cu definiția și regulile de calcul prevăzute de Legea nr.179/2016 sau prin </w:t>
            </w:r>
            <w:r w:rsidRPr="0050209C">
              <w:rPr>
                <w:rFonts w:ascii="Times New Roman" w:hAnsi="Times New Roman" w:cs="Times New Roman"/>
                <w:sz w:val="20"/>
                <w:szCs w:val="20"/>
                <w:lang w:eastAsia="ro-RO"/>
              </w:rPr>
              <w:lastRenderedPageBreak/>
              <w:t xml:space="preserve">trimitere expresă la dispozițiile acesteia, în vederea asigurării coerenței și unității cadrului normativ. </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C84905" w14:textId="77777777" w:rsidR="00FF2FF9" w:rsidRPr="0050209C" w:rsidRDefault="003A370A" w:rsidP="00FF2FF9">
            <w:pPr>
              <w:spacing w:after="0" w:line="240" w:lineRule="auto"/>
              <w:jc w:val="both"/>
              <w:rPr>
                <w:rFonts w:ascii="Times New Roman" w:hAnsi="Times New Roman" w:cs="Times New Roman"/>
                <w:b/>
                <w:sz w:val="20"/>
                <w:szCs w:val="20"/>
                <w:lang w:val="ro-RO" w:eastAsia="ro-RO"/>
              </w:rPr>
            </w:pPr>
            <w:r w:rsidRPr="0050209C">
              <w:rPr>
                <w:rFonts w:ascii="Times New Roman" w:hAnsi="Times New Roman" w:cs="Times New Roman"/>
                <w:b/>
                <w:sz w:val="20"/>
                <w:szCs w:val="20"/>
                <w:lang w:val="ro-RO" w:eastAsia="ro-RO"/>
              </w:rPr>
              <w:lastRenderedPageBreak/>
              <w:t>Nu se acceptă</w:t>
            </w:r>
          </w:p>
          <w:p w14:paraId="35A6016F" w14:textId="77777777" w:rsidR="0050209C" w:rsidRDefault="005B125C" w:rsidP="003A370A">
            <w:pPr>
              <w:spacing w:after="0" w:line="240" w:lineRule="auto"/>
              <w:jc w:val="both"/>
              <w:rPr>
                <w:rFonts w:ascii="Times New Roman" w:hAnsi="Times New Roman" w:cs="Times New Roman"/>
                <w:bCs/>
                <w:sz w:val="20"/>
                <w:szCs w:val="20"/>
                <w:lang w:val="ro-RO" w:eastAsia="ro-RO"/>
              </w:rPr>
            </w:pPr>
            <w:r w:rsidRPr="005B125C">
              <w:rPr>
                <w:rFonts w:ascii="Times New Roman" w:hAnsi="Times New Roman" w:cs="Times New Roman"/>
                <w:bCs/>
                <w:sz w:val="20"/>
                <w:szCs w:val="20"/>
                <w:lang w:val="ro-RO" w:eastAsia="ro-RO"/>
              </w:rPr>
              <w:t>Definiția „întreprinderi mici și mijlocii (IMM-uri)</w:t>
            </w:r>
            <w:r>
              <w:rPr>
                <w:rFonts w:ascii="Times New Roman" w:hAnsi="Times New Roman" w:cs="Times New Roman"/>
                <w:bCs/>
                <w:sz w:val="20"/>
                <w:szCs w:val="20"/>
                <w:lang w:val="ro-RO" w:eastAsia="ro-RO"/>
              </w:rPr>
              <w:t>”</w:t>
            </w:r>
            <w:r w:rsidRPr="005B125C">
              <w:rPr>
                <w:rFonts w:ascii="Times New Roman" w:hAnsi="Times New Roman" w:cs="Times New Roman"/>
                <w:bCs/>
                <w:sz w:val="20"/>
                <w:szCs w:val="20"/>
                <w:lang w:val="ro-RO" w:eastAsia="ro-RO"/>
              </w:rPr>
              <w:t xml:space="preserve"> de la art.4 alin.(1) </w:t>
            </w:r>
            <w:r>
              <w:rPr>
                <w:rFonts w:ascii="Times New Roman" w:hAnsi="Times New Roman" w:cs="Times New Roman"/>
                <w:bCs/>
                <w:sz w:val="20"/>
                <w:szCs w:val="20"/>
                <w:lang w:val="ro-RO" w:eastAsia="ro-RO"/>
              </w:rPr>
              <w:t xml:space="preserve">pct.43) </w:t>
            </w:r>
            <w:r w:rsidRPr="005B125C">
              <w:rPr>
                <w:rFonts w:ascii="Times New Roman" w:hAnsi="Times New Roman" w:cs="Times New Roman"/>
                <w:bCs/>
                <w:sz w:val="20"/>
                <w:szCs w:val="20"/>
                <w:lang w:val="ro-RO" w:eastAsia="ro-RO"/>
              </w:rPr>
              <w:t>reproduce fidel art.4 alin.(1) pct.13) din Directiva 2014/65/UE, care definește IMM-urile, în scopul piețelor instrumentelor financiare, prin criteriul capitalizării bursiere medii sub echivalentul a 200 milioane euro, pe baza cotațiilor de sfârșit de an din ultimii 3 ani calendaristici. Potrivit pct.24 din Regulamentul aprobat prin Hotărârea Guvernului nr.1171/2018, definițiile, valorile numerice și metodele de calcul prevăzute de actele Uniunii Europene se preiau fără devieri; corelarea cu un alt set de criterii ar denatura transpunerea.</w:t>
            </w:r>
          </w:p>
          <w:p w14:paraId="3C91D724" w14:textId="77777777" w:rsidR="0050209C" w:rsidRDefault="005B125C" w:rsidP="003A370A">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Notăm că c</w:t>
            </w:r>
            <w:r w:rsidRPr="005B125C">
              <w:rPr>
                <w:rFonts w:ascii="Times New Roman" w:hAnsi="Times New Roman" w:cs="Times New Roman"/>
                <w:bCs/>
                <w:sz w:val="20"/>
                <w:szCs w:val="20"/>
                <w:lang w:val="ro-RO" w:eastAsia="ro-RO"/>
              </w:rPr>
              <w:t>riteriul capitalizării bursiere este unul sectorial, relevant exclusiv în contextul piețelor instrumentelor financiare și al regimului piețelor de creștere pentru IMM-uri (definiția „piață de creștere pentru IMM-uri</w:t>
            </w:r>
            <w:r>
              <w:rPr>
                <w:rFonts w:ascii="Times New Roman" w:hAnsi="Times New Roman" w:cs="Times New Roman"/>
                <w:bCs/>
                <w:sz w:val="20"/>
                <w:szCs w:val="20"/>
                <w:lang w:val="ro-RO" w:eastAsia="ro-RO"/>
              </w:rPr>
              <w:t>”</w:t>
            </w:r>
            <w:r w:rsidRPr="005B125C">
              <w:rPr>
                <w:rFonts w:ascii="Times New Roman" w:hAnsi="Times New Roman" w:cs="Times New Roman"/>
                <w:bCs/>
                <w:sz w:val="20"/>
                <w:szCs w:val="20"/>
                <w:lang w:val="ro-RO" w:eastAsia="ro-RO"/>
              </w:rPr>
              <w:t xml:space="preserve"> din art.4</w:t>
            </w:r>
            <w:r>
              <w:rPr>
                <w:rFonts w:ascii="Times New Roman" w:hAnsi="Times New Roman" w:cs="Times New Roman"/>
                <w:bCs/>
                <w:sz w:val="20"/>
                <w:szCs w:val="20"/>
                <w:lang w:val="ro-RO" w:eastAsia="ro-RO"/>
              </w:rPr>
              <w:t xml:space="preserve"> alin.(1) pct.55)</w:t>
            </w:r>
            <w:r w:rsidRPr="005B125C">
              <w:rPr>
                <w:rFonts w:ascii="Times New Roman" w:hAnsi="Times New Roman" w:cs="Times New Roman"/>
                <w:bCs/>
                <w:sz w:val="20"/>
                <w:szCs w:val="20"/>
                <w:lang w:val="ro-RO" w:eastAsia="ro-RO"/>
              </w:rPr>
              <w:t xml:space="preserve">), distinct de criteriile generale (numărul de salariați, cifra de afaceri, </w:t>
            </w:r>
            <w:r w:rsidRPr="005B125C">
              <w:rPr>
                <w:rFonts w:ascii="Times New Roman" w:hAnsi="Times New Roman" w:cs="Times New Roman"/>
                <w:bCs/>
                <w:sz w:val="20"/>
                <w:szCs w:val="20"/>
                <w:lang w:val="ro-RO" w:eastAsia="ro-RO"/>
              </w:rPr>
              <w:lastRenderedPageBreak/>
              <w:t xml:space="preserve">activele) prevăzute de Legea nr.179/2016 </w:t>
            </w:r>
            <w:r>
              <w:rPr>
                <w:rFonts w:ascii="Times New Roman" w:hAnsi="Times New Roman" w:cs="Times New Roman"/>
                <w:bCs/>
                <w:sz w:val="20"/>
                <w:szCs w:val="20"/>
                <w:lang w:val="ro-RO" w:eastAsia="ro-RO"/>
              </w:rPr>
              <w:t xml:space="preserve">– </w:t>
            </w:r>
            <w:r w:rsidRPr="005B125C">
              <w:rPr>
                <w:rFonts w:ascii="Times New Roman" w:hAnsi="Times New Roman" w:cs="Times New Roman"/>
                <w:bCs/>
                <w:sz w:val="20"/>
                <w:szCs w:val="20"/>
                <w:lang w:val="ro-RO" w:eastAsia="ro-RO"/>
              </w:rPr>
              <w:t xml:space="preserve"> care corespund, la rândul lor, definiției generale a IMM-urilor din dreptul Uniunii Europene (Recomandarea 2003/361/CE).</w:t>
            </w:r>
          </w:p>
          <w:p w14:paraId="41F7556C" w14:textId="77777777" w:rsidR="005B125C" w:rsidRDefault="005B125C" w:rsidP="003A370A">
            <w:pPr>
              <w:spacing w:after="0" w:line="240" w:lineRule="auto"/>
              <w:jc w:val="both"/>
              <w:rPr>
                <w:rFonts w:ascii="Times New Roman" w:hAnsi="Times New Roman" w:cs="Times New Roman"/>
                <w:bCs/>
                <w:sz w:val="20"/>
                <w:szCs w:val="20"/>
                <w:lang w:val="ro-RO" w:eastAsia="ro-RO"/>
              </w:rPr>
            </w:pPr>
            <w:r w:rsidRPr="005B125C">
              <w:rPr>
                <w:rFonts w:ascii="Times New Roman" w:hAnsi="Times New Roman" w:cs="Times New Roman"/>
                <w:bCs/>
                <w:sz w:val="20"/>
                <w:szCs w:val="20"/>
                <w:lang w:val="ro-RO" w:eastAsia="ro-RO"/>
              </w:rPr>
              <w:t xml:space="preserve">Existența unor definiții diferite, fiecare aplicabilă în domeniul său, reflectă însăși abordarea acquis-ului Uniunii Europene, care utilizează definiții distincte ale IMM-urilor în funcție de scopul fiecărui act. Astfel, </w:t>
            </w:r>
            <w:r w:rsidR="00C4006B">
              <w:rPr>
                <w:rFonts w:ascii="Times New Roman" w:hAnsi="Times New Roman" w:cs="Times New Roman"/>
                <w:bCs/>
                <w:sz w:val="20"/>
                <w:szCs w:val="20"/>
                <w:lang w:val="ro-RO" w:eastAsia="ro-RO"/>
              </w:rPr>
              <w:t xml:space="preserve">de exemplu, </w:t>
            </w:r>
            <w:r w:rsidRPr="005B125C">
              <w:rPr>
                <w:rFonts w:ascii="Times New Roman" w:hAnsi="Times New Roman" w:cs="Times New Roman"/>
                <w:bCs/>
                <w:sz w:val="20"/>
                <w:szCs w:val="20"/>
                <w:lang w:val="ro-RO" w:eastAsia="ro-RO"/>
              </w:rPr>
              <w:t>Regulamentul (UE) 2017/1129 definește la art.2 lit.(f) „întreprinderile mici și mijlocii</w:t>
            </w:r>
            <w:r w:rsidR="00C4006B">
              <w:rPr>
                <w:rFonts w:ascii="Times New Roman" w:hAnsi="Times New Roman" w:cs="Times New Roman"/>
                <w:bCs/>
                <w:sz w:val="20"/>
                <w:szCs w:val="20"/>
                <w:lang w:val="ro-RO" w:eastAsia="ro-RO"/>
              </w:rPr>
              <w:t>”</w:t>
            </w:r>
            <w:r w:rsidRPr="005B125C">
              <w:rPr>
                <w:rFonts w:ascii="Times New Roman" w:hAnsi="Times New Roman" w:cs="Times New Roman"/>
                <w:bCs/>
                <w:sz w:val="20"/>
                <w:szCs w:val="20"/>
                <w:lang w:val="ro-RO" w:eastAsia="ro-RO"/>
              </w:rPr>
              <w:t xml:space="preserve"> alternativ: fie prin criterii contabile (</w:t>
            </w:r>
            <w:r w:rsidR="00C4006B">
              <w:rPr>
                <w:rFonts w:ascii="Times New Roman" w:hAnsi="Times New Roman" w:cs="Times New Roman"/>
                <w:bCs/>
                <w:sz w:val="20"/>
                <w:szCs w:val="20"/>
                <w:lang w:val="ro-RO" w:eastAsia="ro-RO"/>
              </w:rPr>
              <w:t>similar regimului prevăzut de Legea nr.179/2016</w:t>
            </w:r>
            <w:r w:rsidRPr="005B125C">
              <w:rPr>
                <w:rFonts w:ascii="Times New Roman" w:hAnsi="Times New Roman" w:cs="Times New Roman"/>
                <w:bCs/>
                <w:sz w:val="20"/>
                <w:szCs w:val="20"/>
                <w:lang w:val="ro-RO" w:eastAsia="ro-RO"/>
              </w:rPr>
              <w:t>), fie prin trimitere la definiția de la art.4 alin.(1) pct.13) din Directiva 2014/65/UE (</w:t>
            </w:r>
            <w:r w:rsidR="00C4006B">
              <w:rPr>
                <w:rFonts w:ascii="Times New Roman" w:hAnsi="Times New Roman" w:cs="Times New Roman"/>
                <w:bCs/>
                <w:sz w:val="20"/>
                <w:szCs w:val="20"/>
                <w:lang w:val="ro-RO" w:eastAsia="ro-RO"/>
              </w:rPr>
              <w:t>i.e. art.4 alin.(1) pct.43) din acest proiect de lege</w:t>
            </w:r>
            <w:r w:rsidRPr="005B125C">
              <w:rPr>
                <w:rFonts w:ascii="Times New Roman" w:hAnsi="Times New Roman" w:cs="Times New Roman"/>
                <w:bCs/>
                <w:sz w:val="20"/>
                <w:szCs w:val="20"/>
                <w:lang w:val="ro-RO" w:eastAsia="ro-RO"/>
              </w:rPr>
              <w:t>). În consecință, coexistența criteriului sectorial din prezenta lege cu criteriile generale din Legea nr.179/2016 nu instituie criterii paralele contradictorii, ci definiții cu domenii de aplicare distincte, fără a genera un conflict normativ.</w:t>
            </w:r>
          </w:p>
          <w:p w14:paraId="4894E5CD" w14:textId="77777777" w:rsidR="003A370A" w:rsidRPr="0050209C" w:rsidRDefault="00C4006B" w:rsidP="00C4006B">
            <w:pPr>
              <w:spacing w:after="0" w:line="240" w:lineRule="auto"/>
              <w:jc w:val="both"/>
              <w:rPr>
                <w:rFonts w:ascii="Times New Roman" w:hAnsi="Times New Roman" w:cs="Times New Roman"/>
                <w:bCs/>
                <w:sz w:val="20"/>
                <w:szCs w:val="20"/>
                <w:lang w:val="ro-RO" w:eastAsia="ro-RO"/>
              </w:rPr>
            </w:pPr>
            <w:r w:rsidRPr="00C4006B">
              <w:rPr>
                <w:rFonts w:ascii="Times New Roman" w:hAnsi="Times New Roman" w:cs="Times New Roman"/>
                <w:bCs/>
                <w:sz w:val="20"/>
                <w:szCs w:val="20"/>
                <w:lang w:val="ro-RO" w:eastAsia="ro-RO"/>
              </w:rPr>
              <w:t xml:space="preserve">În ceea ce privește cursul de schimb, metoda prevăzută de proiect (cursul valabil la 31 decembrie al fiecăruia dintre ultimii 3 ani calendaristici) decurge din însuși criteriul transpus </w:t>
            </w:r>
            <w:r>
              <w:rPr>
                <w:rFonts w:ascii="Times New Roman" w:hAnsi="Times New Roman" w:cs="Times New Roman"/>
                <w:bCs/>
                <w:sz w:val="20"/>
                <w:szCs w:val="20"/>
                <w:lang w:val="ro-RO" w:eastAsia="ro-RO"/>
              </w:rPr>
              <w:t>-</w:t>
            </w:r>
            <w:r w:rsidRPr="00C4006B">
              <w:rPr>
                <w:rFonts w:ascii="Times New Roman" w:hAnsi="Times New Roman" w:cs="Times New Roman"/>
                <w:bCs/>
                <w:sz w:val="20"/>
                <w:szCs w:val="20"/>
                <w:lang w:val="ro-RO" w:eastAsia="ro-RO"/>
              </w:rPr>
              <w:t xml:space="preserve"> capitalizarea bursieră pe baza cotațiilor de sfârșit de an </w:t>
            </w:r>
            <w:r>
              <w:rPr>
                <w:rFonts w:ascii="Times New Roman" w:hAnsi="Times New Roman" w:cs="Times New Roman"/>
                <w:bCs/>
                <w:sz w:val="20"/>
                <w:szCs w:val="20"/>
                <w:lang w:val="ro-RO" w:eastAsia="ro-RO"/>
              </w:rPr>
              <w:t>-</w:t>
            </w:r>
            <w:r w:rsidRPr="00C4006B">
              <w:rPr>
                <w:rFonts w:ascii="Times New Roman" w:hAnsi="Times New Roman" w:cs="Times New Roman"/>
                <w:bCs/>
                <w:sz w:val="20"/>
                <w:szCs w:val="20"/>
                <w:lang w:val="ro-RO" w:eastAsia="ro-RO"/>
              </w:rPr>
              <w:t xml:space="preserve"> și nu poate fi înlocuită cu cursul mediu anual prevăzut la art.4 alin.(3) din Legea nr.179/2016, care este corelat cu criteriul cifrei de afaceri anuale, propriu unei alte definiții.</w:t>
            </w:r>
          </w:p>
        </w:tc>
      </w:tr>
      <w:tr w:rsidR="00FF2FF9" w:rsidRPr="009B7C97" w14:paraId="52E43188" w14:textId="77777777" w:rsidTr="00CE1798">
        <w:trPr>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0FC906" w14:textId="77777777" w:rsidR="00572F86" w:rsidRPr="00C951EC" w:rsidRDefault="00572F86" w:rsidP="00572F86">
            <w:pPr>
              <w:spacing w:after="0" w:line="240" w:lineRule="auto"/>
              <w:rPr>
                <w:rFonts w:ascii="Times New Roman" w:eastAsia="Times New Roman" w:hAnsi="Times New Roman" w:cs="Times New Roman"/>
                <w:b/>
                <w:bCs/>
                <w:iCs/>
                <w:sz w:val="20"/>
                <w:szCs w:val="20"/>
                <w:lang w:val="ro-RO" w:eastAsia="ro-RO"/>
              </w:rPr>
            </w:pPr>
            <w:r w:rsidRPr="00C951EC">
              <w:rPr>
                <w:rFonts w:ascii="Times New Roman" w:eastAsia="Times New Roman" w:hAnsi="Times New Roman" w:cs="Times New Roman"/>
                <w:b/>
                <w:bCs/>
                <w:iCs/>
                <w:sz w:val="20"/>
                <w:szCs w:val="20"/>
                <w:lang w:val="ro-RO" w:eastAsia="ro-RO"/>
              </w:rPr>
              <w:lastRenderedPageBreak/>
              <w:t>Articolul 4. Noțiuni principale</w:t>
            </w:r>
          </w:p>
          <w:p w14:paraId="2D9FCA6A" w14:textId="77777777" w:rsidR="00572F86" w:rsidRPr="00C951EC" w:rsidRDefault="00572F86" w:rsidP="00572F86">
            <w:pPr>
              <w:spacing w:after="0" w:line="240" w:lineRule="auto"/>
              <w:rPr>
                <w:rFonts w:ascii="Times New Roman" w:eastAsia="Times New Roman" w:hAnsi="Times New Roman" w:cs="Times New Roman"/>
                <w:bCs/>
                <w:iCs/>
                <w:sz w:val="20"/>
                <w:szCs w:val="20"/>
                <w:lang w:val="ro-RO" w:eastAsia="ro-RO"/>
              </w:rPr>
            </w:pPr>
            <w:r w:rsidRPr="00C951EC">
              <w:rPr>
                <w:rFonts w:ascii="Times New Roman" w:eastAsia="Times New Roman" w:hAnsi="Times New Roman" w:cs="Times New Roman"/>
                <w:bCs/>
                <w:iCs/>
                <w:sz w:val="20"/>
                <w:szCs w:val="20"/>
                <w:lang w:val="ro-RO" w:eastAsia="ro-RO"/>
              </w:rPr>
              <w:t>(1) În sensul prezentei legi, următoarele noţiuni principale semnifică:</w:t>
            </w:r>
          </w:p>
          <w:p w14:paraId="6625192D" w14:textId="77777777" w:rsidR="00572F86" w:rsidRDefault="00572F86" w:rsidP="00572F86">
            <w:pPr>
              <w:spacing w:after="0" w:line="240" w:lineRule="auto"/>
              <w:rPr>
                <w:rFonts w:ascii="Times New Roman" w:eastAsia="Times New Roman" w:hAnsi="Times New Roman" w:cs="Times New Roman"/>
                <w:bCs/>
                <w:iCs/>
                <w:sz w:val="20"/>
                <w:szCs w:val="20"/>
                <w:lang w:val="ro-RO" w:eastAsia="ro-RO"/>
              </w:rPr>
            </w:pPr>
            <w:r>
              <w:rPr>
                <w:rFonts w:ascii="Times New Roman" w:eastAsia="Times New Roman" w:hAnsi="Times New Roman" w:cs="Times New Roman"/>
                <w:bCs/>
                <w:iCs/>
                <w:sz w:val="20"/>
                <w:szCs w:val="20"/>
                <w:lang w:val="ro-RO" w:eastAsia="ro-RO"/>
              </w:rPr>
              <w:lastRenderedPageBreak/>
              <w:t>...</w:t>
            </w:r>
          </w:p>
          <w:p w14:paraId="3843B6EE" w14:textId="77777777" w:rsidR="00572F86" w:rsidRDefault="00572F86" w:rsidP="00572F86">
            <w:pPr>
              <w:spacing w:after="0" w:line="240" w:lineRule="auto"/>
              <w:rPr>
                <w:rFonts w:ascii="Times New Roman" w:eastAsia="Times New Roman" w:hAnsi="Times New Roman" w:cs="Times New Roman"/>
                <w:b/>
                <w:iCs/>
                <w:sz w:val="20"/>
                <w:szCs w:val="20"/>
                <w:lang w:val="ro-RO" w:eastAsia="ro-RO"/>
              </w:rPr>
            </w:pPr>
          </w:p>
          <w:p w14:paraId="18CD8B4D" w14:textId="77777777" w:rsidR="00FF2FF9" w:rsidRPr="00C71263" w:rsidRDefault="00572F86" w:rsidP="00572F86">
            <w:pPr>
              <w:spacing w:after="0" w:line="240" w:lineRule="auto"/>
              <w:rPr>
                <w:rFonts w:ascii="Times New Roman" w:eastAsia="Times New Roman" w:hAnsi="Times New Roman" w:cs="Times New Roman"/>
                <w:b/>
                <w:iCs/>
                <w:sz w:val="20"/>
                <w:szCs w:val="20"/>
                <w:lang w:val="ro-RO" w:eastAsia="ro-RO"/>
              </w:rPr>
            </w:pPr>
            <w:r w:rsidRPr="000231B9">
              <w:rPr>
                <w:rFonts w:ascii="Times New Roman" w:eastAsia="Times New Roman" w:hAnsi="Times New Roman" w:cs="Times New Roman"/>
                <w:bCs/>
                <w:i/>
                <w:sz w:val="20"/>
                <w:szCs w:val="20"/>
                <w:lang w:val="ro-RO" w:eastAsia="ro-RO"/>
              </w:rPr>
              <w:t xml:space="preserve">întreprinderi mici şi mijlocii </w:t>
            </w:r>
            <w:r w:rsidRPr="000231B9">
              <w:rPr>
                <w:rFonts w:ascii="Times New Roman" w:eastAsia="Times New Roman" w:hAnsi="Times New Roman" w:cs="Times New Roman"/>
                <w:bCs/>
                <w:iCs/>
                <w:sz w:val="20"/>
                <w:szCs w:val="20"/>
                <w:lang w:val="ro-RO" w:eastAsia="ro-RO"/>
              </w:rPr>
              <w:t>sau</w:t>
            </w:r>
            <w:r w:rsidRPr="000231B9">
              <w:rPr>
                <w:rFonts w:ascii="Times New Roman" w:eastAsia="Times New Roman" w:hAnsi="Times New Roman" w:cs="Times New Roman"/>
                <w:bCs/>
                <w:i/>
                <w:sz w:val="20"/>
                <w:szCs w:val="20"/>
                <w:lang w:val="ro-RO" w:eastAsia="ro-RO"/>
              </w:rPr>
              <w:t xml:space="preserve"> IMM-uri</w:t>
            </w:r>
            <w:r w:rsidRPr="000231B9">
              <w:rPr>
                <w:rFonts w:ascii="Times New Roman" w:eastAsia="Times New Roman" w:hAnsi="Times New Roman" w:cs="Times New Roman"/>
                <w:bCs/>
                <w:iCs/>
                <w:sz w:val="20"/>
                <w:szCs w:val="20"/>
                <w:lang w:val="ro-RO" w:eastAsia="ro-RO"/>
              </w:rPr>
              <w:t xml:space="preserve"> – societăţile a căror capitalizare bursieră, pe baza cotaţiilor de sfârşit de an din ultimii 3 ani calendaristici, a fost mai mică decât echivalentul în lei moldovenești a 200 milioane euro. Cursul de schimb avut în vedere la stabilirea echivalentului în lei moldovenești al sumei de 200 milioane euro este cel valabil pentru data de 31 decembrie a fiecărui an din ultimii 3 ani calendaristici;</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065BD5A" w14:textId="77777777" w:rsidR="00FF2FF9" w:rsidRDefault="00FF2FF9" w:rsidP="00FF2FF9">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Ministerul Justiției</w:t>
            </w:r>
          </w:p>
          <w:p w14:paraId="7A1DD7E5" w14:textId="77777777" w:rsidR="00263797" w:rsidRDefault="00263797" w:rsidP="00FF2FF9">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5F060DA" w14:textId="77777777" w:rsidR="00FF2FF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7</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0845B" w14:textId="77777777" w:rsidR="00FF2FF9" w:rsidRPr="000231B9" w:rsidRDefault="00FF2FF9" w:rsidP="00FF2FF9">
            <w:pPr>
              <w:spacing w:after="0" w:line="240" w:lineRule="auto"/>
              <w:jc w:val="both"/>
              <w:rPr>
                <w:rFonts w:ascii="Times New Roman" w:hAnsi="Times New Roman" w:cs="Times New Roman"/>
                <w:sz w:val="20"/>
                <w:szCs w:val="20"/>
                <w:lang w:eastAsia="ro-RO"/>
              </w:rPr>
            </w:pPr>
            <w:r w:rsidRPr="000231B9">
              <w:rPr>
                <w:rFonts w:ascii="Times New Roman" w:hAnsi="Times New Roman" w:cs="Times New Roman"/>
                <w:sz w:val="20"/>
                <w:szCs w:val="20"/>
                <w:lang w:eastAsia="ro-RO"/>
              </w:rPr>
              <w:t xml:space="preserve">Totodată, cuvântul „calendaristice” se vor evita la determinarea curgerii și calculării termenilor. Or, aceasta este regula generală de </w:t>
            </w:r>
            <w:r w:rsidRPr="000231B9">
              <w:rPr>
                <w:rFonts w:ascii="Times New Roman" w:hAnsi="Times New Roman" w:cs="Times New Roman"/>
                <w:sz w:val="20"/>
                <w:szCs w:val="20"/>
                <w:lang w:eastAsia="ro-RO"/>
              </w:rPr>
              <w:lastRenderedPageBreak/>
              <w:t xml:space="preserve">curgere a termenului. În caz contrar, apare incertitudinea în privința modului de calculare a termenului unde nu s-a precizat tipul zilelor. </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265E2" w14:textId="77777777" w:rsidR="00FF2FF9" w:rsidRPr="000231B9" w:rsidRDefault="00B70E60" w:rsidP="00FF2FF9">
            <w:pPr>
              <w:spacing w:after="0" w:line="240" w:lineRule="auto"/>
              <w:jc w:val="both"/>
              <w:rPr>
                <w:rFonts w:ascii="Times New Roman" w:hAnsi="Times New Roman" w:cs="Times New Roman"/>
                <w:b/>
                <w:sz w:val="20"/>
                <w:szCs w:val="20"/>
                <w:lang w:val="ro-RO" w:eastAsia="ro-RO"/>
              </w:rPr>
            </w:pPr>
            <w:r w:rsidRPr="000231B9">
              <w:rPr>
                <w:rFonts w:ascii="Times New Roman" w:hAnsi="Times New Roman" w:cs="Times New Roman"/>
                <w:b/>
                <w:sz w:val="20"/>
                <w:szCs w:val="20"/>
                <w:lang w:val="ro-RO" w:eastAsia="ro-RO"/>
              </w:rPr>
              <w:lastRenderedPageBreak/>
              <w:t>Se acceptă</w:t>
            </w:r>
            <w:r w:rsidR="003A370A" w:rsidRPr="000231B9">
              <w:rPr>
                <w:rFonts w:ascii="Times New Roman" w:hAnsi="Times New Roman" w:cs="Times New Roman"/>
                <w:b/>
                <w:sz w:val="20"/>
                <w:szCs w:val="20"/>
                <w:lang w:val="ro-RO" w:eastAsia="ro-RO"/>
              </w:rPr>
              <w:t>.</w:t>
            </w:r>
          </w:p>
          <w:p w14:paraId="2E2B6C3D" w14:textId="77777777" w:rsidR="003A370A" w:rsidRPr="000231B9" w:rsidRDefault="003A370A" w:rsidP="00FF2FF9">
            <w:pPr>
              <w:spacing w:after="0" w:line="240" w:lineRule="auto"/>
              <w:jc w:val="both"/>
              <w:rPr>
                <w:rFonts w:ascii="Times New Roman" w:hAnsi="Times New Roman" w:cs="Times New Roman"/>
                <w:bCs/>
                <w:sz w:val="20"/>
                <w:szCs w:val="20"/>
                <w:lang w:val="ro-RO" w:eastAsia="ro-RO"/>
              </w:rPr>
            </w:pPr>
            <w:r w:rsidRPr="000231B9">
              <w:rPr>
                <w:rFonts w:ascii="Times New Roman" w:hAnsi="Times New Roman" w:cs="Times New Roman"/>
                <w:bCs/>
                <w:sz w:val="20"/>
                <w:szCs w:val="20"/>
                <w:lang w:val="ro-RO" w:eastAsia="ro-RO"/>
              </w:rPr>
              <w:lastRenderedPageBreak/>
              <w:t>Au fost operate modificări la art.</w:t>
            </w:r>
            <w:r w:rsidR="00572F86">
              <w:rPr>
                <w:rFonts w:ascii="Times New Roman" w:hAnsi="Times New Roman" w:cs="Times New Roman"/>
                <w:bCs/>
                <w:sz w:val="20"/>
                <w:szCs w:val="20"/>
                <w:lang w:val="ro-RO" w:eastAsia="ro-RO"/>
              </w:rPr>
              <w:t xml:space="preserve">4 alin.(1) pct.43), cât și la </w:t>
            </w:r>
            <w:r w:rsidRPr="000231B9">
              <w:rPr>
                <w:rFonts w:ascii="Times New Roman" w:hAnsi="Times New Roman" w:cs="Times New Roman"/>
                <w:bCs/>
                <w:sz w:val="20"/>
                <w:szCs w:val="20"/>
                <w:lang w:val="ro-RO" w:eastAsia="ro-RO"/>
              </w:rPr>
              <w:t>138 alin.(6), (7), (9) cu excluderea cuvântului „calendaristice”.</w:t>
            </w:r>
          </w:p>
        </w:tc>
      </w:tr>
      <w:tr w:rsidR="0030706D" w:rsidRPr="009B7C97" w14:paraId="0C31295C"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D124A" w14:textId="77777777" w:rsidR="0030706D" w:rsidRDefault="0030706D" w:rsidP="0030706D">
            <w:pPr>
              <w:spacing w:after="0" w:line="240" w:lineRule="auto"/>
              <w:jc w:val="both"/>
            </w:pPr>
            <w:r>
              <w:rPr>
                <w:rFonts w:ascii="Times New Roman" w:hAnsi="Times New Roman" w:cs="Times New Roman"/>
                <w:b/>
                <w:sz w:val="20"/>
                <w:szCs w:val="20"/>
                <w:lang w:val="ro-RO" w:eastAsia="ro-RO"/>
              </w:rPr>
              <w:lastRenderedPageBreak/>
              <w:t xml:space="preserve">Articolul 13. </w:t>
            </w:r>
            <w:r w:rsidR="00B06A59" w:rsidRPr="00AE30F9">
              <w:rPr>
                <w:rFonts w:ascii="Times New Roman" w:hAnsi="Times New Roman" w:cs="Times New Roman"/>
                <w:b/>
                <w:sz w:val="20"/>
                <w:szCs w:val="20"/>
                <w:lang w:val="ro-RO" w:eastAsia="ro-RO"/>
              </w:rPr>
              <w:t>Autorizația de firmă de investiții</w:t>
            </w:r>
          </w:p>
          <w:p w14:paraId="02C3593C" w14:textId="77777777" w:rsidR="0030706D" w:rsidRPr="00C71263" w:rsidRDefault="0030706D" w:rsidP="0030706D">
            <w:pPr>
              <w:spacing w:after="0" w:line="240" w:lineRule="auto"/>
              <w:jc w:val="both"/>
              <w:rPr>
                <w:rFonts w:ascii="Times New Roman" w:eastAsia="Times New Roman" w:hAnsi="Times New Roman" w:cs="Times New Roman"/>
                <w:b/>
                <w:iCs/>
                <w:sz w:val="20"/>
                <w:szCs w:val="20"/>
                <w:lang w:val="ro-RO" w:eastAsia="ro-RO"/>
              </w:rPr>
            </w:pPr>
            <w:r>
              <w:rPr>
                <w:rFonts w:ascii="Times New Roman" w:hAnsi="Times New Roman" w:cs="Times New Roman"/>
                <w:sz w:val="20"/>
                <w:szCs w:val="20"/>
                <w:lang w:val="ro-RO" w:eastAsia="ro-RO"/>
              </w:rPr>
              <w:t>(3) Firmele de investiții se constituie sub forma juridică de organizare de societăţi pe acţiuni conform legislaţiei cu privire la societăţile pe acţiuni şi prezentei legi. Dispozițiile Legii nr.1134/1997 privind societăţile pe acţiuni şi ale altor legi pot fi aplicate firmelor de investiții doar în măsura în care nu contravin normelor stabilite de prezenta lege.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2F6B1" w14:textId="77777777" w:rsidR="0030706D" w:rsidRDefault="0030706D" w:rsidP="000E66AE">
            <w:pPr>
              <w:spacing w:after="0" w:line="240" w:lineRule="auto"/>
              <w:rPr>
                <w:rFonts w:ascii="Times New Roman" w:eastAsia="Times New Roman" w:hAnsi="Times New Roman" w:cs="Times New Roman"/>
                <w:b/>
                <w:bCs/>
                <w:sz w:val="20"/>
                <w:szCs w:val="20"/>
                <w:lang w:eastAsia="ro-RO"/>
              </w:rPr>
            </w:pPr>
            <w:r w:rsidRPr="0030706D">
              <w:rPr>
                <w:rFonts w:ascii="Times New Roman" w:eastAsia="Times New Roman" w:hAnsi="Times New Roman" w:cs="Times New Roman"/>
                <w:b/>
                <w:bCs/>
                <w:sz w:val="20"/>
                <w:szCs w:val="20"/>
                <w:lang w:eastAsia="ro-RO"/>
              </w:rPr>
              <w:t>Centrul de Armonizare a</w:t>
            </w:r>
            <w:r w:rsidR="000E66AE">
              <w:rPr>
                <w:rFonts w:ascii="Times New Roman" w:eastAsia="Times New Roman" w:hAnsi="Times New Roman" w:cs="Times New Roman"/>
                <w:b/>
                <w:bCs/>
                <w:sz w:val="20"/>
                <w:szCs w:val="20"/>
                <w:lang w:eastAsia="ro-RO"/>
              </w:rPr>
              <w:t xml:space="preserve"> </w:t>
            </w:r>
            <w:r w:rsidRPr="0030706D">
              <w:rPr>
                <w:rFonts w:ascii="Times New Roman" w:eastAsia="Times New Roman" w:hAnsi="Times New Roman" w:cs="Times New Roman"/>
                <w:b/>
                <w:bCs/>
                <w:sz w:val="20"/>
                <w:szCs w:val="20"/>
                <w:lang w:eastAsia="ro-RO"/>
              </w:rPr>
              <w:t>Legislației</w:t>
            </w:r>
          </w:p>
          <w:p w14:paraId="72FE9800" w14:textId="77777777" w:rsidR="00263797" w:rsidRPr="00984273" w:rsidRDefault="00263797" w:rsidP="0026379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nr.31/02-</w:t>
            </w:r>
          </w:p>
          <w:p w14:paraId="2C1A3595" w14:textId="77777777" w:rsidR="00263797" w:rsidRDefault="00263797" w:rsidP="00263797">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126-5541 din 15.05.2026)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865918" w14:textId="77777777" w:rsidR="0030706D" w:rsidRPr="00C936B6"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8</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149788" w14:textId="77777777" w:rsidR="0030706D" w:rsidRPr="0030706D" w:rsidRDefault="0030706D" w:rsidP="0030706D">
            <w:pPr>
              <w:spacing w:after="0" w:line="240" w:lineRule="auto"/>
              <w:jc w:val="both"/>
              <w:rPr>
                <w:rFonts w:ascii="Times New Roman" w:hAnsi="Times New Roman" w:cs="Times New Roman"/>
                <w:i/>
                <w:iCs/>
                <w:sz w:val="20"/>
                <w:szCs w:val="20"/>
                <w:lang w:val="ro-RO" w:eastAsia="ro-RO"/>
              </w:rPr>
            </w:pPr>
            <w:r w:rsidRPr="0030706D">
              <w:rPr>
                <w:rFonts w:ascii="Times New Roman" w:hAnsi="Times New Roman" w:cs="Times New Roman"/>
                <w:i/>
                <w:iCs/>
                <w:sz w:val="20"/>
                <w:szCs w:val="20"/>
                <w:lang w:val="ro-RO" w:eastAsia="ro-RO"/>
              </w:rPr>
              <w:t>b) Observații de compatibilitate cu Directiva 2014/65/UE a Parlamentului European și a Consiliului din 15 mai 2014</w:t>
            </w:r>
          </w:p>
          <w:p w14:paraId="7E05FD84" w14:textId="77777777" w:rsidR="0030706D" w:rsidRPr="0030706D" w:rsidRDefault="0030706D" w:rsidP="0030706D">
            <w:pPr>
              <w:spacing w:after="0" w:line="240" w:lineRule="auto"/>
              <w:jc w:val="both"/>
              <w:rPr>
                <w:lang w:val="en-US"/>
              </w:rPr>
            </w:pPr>
            <w:r w:rsidRPr="0030706D">
              <w:rPr>
                <w:rFonts w:ascii="Times New Roman" w:hAnsi="Times New Roman" w:cs="Times New Roman"/>
                <w:sz w:val="20"/>
                <w:szCs w:val="20"/>
                <w:lang w:val="ro-RO" w:eastAsia="ro-RO"/>
              </w:rPr>
              <w:t xml:space="preserve">- Art. 13 (3) din proiect impune obligativitatea organizării firmelor de investiții sub forma societății pe acțiuni, deși art. 5 din Directiva 2014/65/UE nu prevede o anumită formă juridică obligatorie pentru firmele de investiții. </w:t>
            </w:r>
            <w:r>
              <w:rPr>
                <w:rFonts w:ascii="Times New Roman" w:hAnsi="Times New Roman" w:cs="Times New Roman"/>
                <w:sz w:val="20"/>
                <w:szCs w:val="20"/>
                <w:lang w:val="ro-RO" w:eastAsia="ro-RO"/>
              </w:rPr>
              <w:t>[...]</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BAB3C" w14:textId="77777777" w:rsidR="0030706D" w:rsidRDefault="0030706D" w:rsidP="0030706D">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Se ia act</w:t>
            </w:r>
          </w:p>
          <w:p w14:paraId="7445076B" w14:textId="77777777" w:rsidR="0030706D" w:rsidRDefault="0030706D" w:rsidP="0030706D">
            <w:pPr>
              <w:spacing w:after="0" w:line="240" w:lineRule="auto"/>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Opțiunea este menținută. </w:t>
            </w:r>
          </w:p>
          <w:p w14:paraId="173A7FEC" w14:textId="77777777" w:rsidR="00BB57C2" w:rsidRDefault="0030706D" w:rsidP="0030706D">
            <w:pPr>
              <w:spacing w:after="0" w:line="240" w:lineRule="auto"/>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Cerința constituirii sub formă de societate pe acțiuni nu contravine art.5 din Directiva 2014/65/UE, întrucât directiva nu prescrie o formă juridică unică, dar nici nu interzice statelor membre să impună una. </w:t>
            </w:r>
            <w:r w:rsidR="00BB57C2">
              <w:rPr>
                <w:rFonts w:ascii="Times New Roman" w:hAnsi="Times New Roman" w:cs="Times New Roman"/>
                <w:sz w:val="20"/>
                <w:szCs w:val="20"/>
                <w:lang w:val="ro-RO" w:eastAsia="ro-RO"/>
              </w:rPr>
              <w:t>Mai mult ca atât, marja de apreciere a statelor membre în stabilirea structurii de guvernanță este recunoscută prin preambulul (55) al Directivei 2014/65/UE.</w:t>
            </w:r>
          </w:p>
          <w:p w14:paraId="3A4A3183" w14:textId="77777777" w:rsidR="004D7E0E" w:rsidRDefault="00BB57C2" w:rsidP="0030706D">
            <w:pPr>
              <w:spacing w:after="0" w:line="240" w:lineRule="auto"/>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Totodată, s</w:t>
            </w:r>
            <w:r w:rsidR="0030706D">
              <w:rPr>
                <w:rFonts w:ascii="Times New Roman" w:hAnsi="Times New Roman" w:cs="Times New Roman"/>
                <w:sz w:val="20"/>
                <w:szCs w:val="20"/>
                <w:lang w:val="ro-RO" w:eastAsia="ro-RO"/>
              </w:rPr>
              <w:t xml:space="preserve">oluția națională se justifică prin: </w:t>
            </w:r>
          </w:p>
          <w:p w14:paraId="4B5A51F2" w14:textId="77777777" w:rsidR="004D7E0E" w:rsidRDefault="004D7E0E" w:rsidP="0030706D">
            <w:pPr>
              <w:spacing w:after="0" w:line="240" w:lineRule="auto"/>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a) </w:t>
            </w:r>
            <w:r w:rsidRPr="004D7E0E">
              <w:rPr>
                <w:rFonts w:ascii="Times New Roman" w:hAnsi="Times New Roman" w:cs="Times New Roman"/>
                <w:sz w:val="20"/>
                <w:szCs w:val="20"/>
                <w:lang w:val="ro-RO" w:eastAsia="ro-RO"/>
              </w:rPr>
              <w:t>practica comparată din statele membre (</w:t>
            </w:r>
            <w:r>
              <w:rPr>
                <w:rFonts w:ascii="Times New Roman" w:hAnsi="Times New Roman" w:cs="Times New Roman"/>
                <w:sz w:val="20"/>
                <w:szCs w:val="20"/>
                <w:lang w:val="ro-RO" w:eastAsia="ro-RO"/>
              </w:rPr>
              <w:t xml:space="preserve">e.g. România – </w:t>
            </w:r>
            <w:r w:rsidRPr="004D7E0E">
              <w:rPr>
                <w:rFonts w:ascii="Times New Roman" w:hAnsi="Times New Roman" w:cs="Times New Roman"/>
                <w:sz w:val="20"/>
                <w:szCs w:val="20"/>
                <w:lang w:val="ro-RO" w:eastAsia="ro-RO"/>
              </w:rPr>
              <w:t>art.</w:t>
            </w:r>
            <w:r>
              <w:rPr>
                <w:rFonts w:ascii="Times New Roman" w:hAnsi="Times New Roman" w:cs="Times New Roman"/>
                <w:sz w:val="20"/>
                <w:szCs w:val="20"/>
                <w:lang w:val="ro-RO" w:eastAsia="ro-RO"/>
              </w:rPr>
              <w:t>3</w:t>
            </w:r>
            <w:r w:rsidRPr="004D7E0E">
              <w:rPr>
                <w:rFonts w:ascii="Times New Roman" w:hAnsi="Times New Roman" w:cs="Times New Roman"/>
                <w:sz w:val="20"/>
                <w:szCs w:val="20"/>
                <w:lang w:val="ro-RO" w:eastAsia="ro-RO"/>
              </w:rPr>
              <w:t xml:space="preserve"> alin.(1) </w:t>
            </w:r>
            <w:r>
              <w:rPr>
                <w:rFonts w:ascii="Times New Roman" w:hAnsi="Times New Roman" w:cs="Times New Roman"/>
                <w:sz w:val="20"/>
                <w:szCs w:val="20"/>
                <w:lang w:val="ro-RO" w:eastAsia="ro-RO"/>
              </w:rPr>
              <w:t>pct.74</w:t>
            </w:r>
            <w:r w:rsidRPr="004D7E0E">
              <w:rPr>
                <w:rFonts w:ascii="Times New Roman" w:hAnsi="Times New Roman" w:cs="Times New Roman"/>
                <w:sz w:val="20"/>
                <w:szCs w:val="20"/>
                <w:lang w:val="ro-RO" w:eastAsia="ro-RO"/>
              </w:rPr>
              <w:t xml:space="preserve"> din Legea nr.126/2018 privind pieţele de instrumente financiare)</w:t>
            </w:r>
            <w:r>
              <w:rPr>
                <w:rFonts w:ascii="Times New Roman" w:hAnsi="Times New Roman" w:cs="Times New Roman"/>
                <w:sz w:val="20"/>
                <w:szCs w:val="20"/>
                <w:lang w:val="ro-RO" w:eastAsia="ro-RO"/>
              </w:rPr>
              <w:t>;</w:t>
            </w:r>
          </w:p>
          <w:p w14:paraId="63068535" w14:textId="77777777" w:rsidR="0030706D" w:rsidRPr="00BB57C2" w:rsidRDefault="004D7E0E" w:rsidP="0030706D">
            <w:pPr>
              <w:spacing w:after="0" w:line="240" w:lineRule="auto"/>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b) </w:t>
            </w:r>
            <w:r w:rsidR="0030706D">
              <w:rPr>
                <w:rFonts w:ascii="Times New Roman" w:hAnsi="Times New Roman" w:cs="Times New Roman"/>
                <w:sz w:val="20"/>
                <w:szCs w:val="20"/>
                <w:lang w:val="ro-RO" w:eastAsia="ro-RO"/>
              </w:rPr>
              <w:t>continuitatea cu regimul actual al Legii nr. 171/2012 privind piața de capital, care impune deja această formă societăților de investiții</w:t>
            </w:r>
            <w:r w:rsidR="00BB57C2">
              <w:rPr>
                <w:rFonts w:ascii="Times New Roman" w:hAnsi="Times New Roman" w:cs="Times New Roman"/>
                <w:sz w:val="20"/>
                <w:szCs w:val="20"/>
                <w:lang w:val="ro-RO" w:eastAsia="ro-RO"/>
              </w:rPr>
              <w:t>.</w:t>
            </w:r>
          </w:p>
        </w:tc>
      </w:tr>
      <w:tr w:rsidR="0030706D" w:rsidRPr="009B7C97" w14:paraId="6F8B57E6"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C5F80" w14:textId="77777777" w:rsidR="000E66AE" w:rsidRPr="00AE30F9" w:rsidRDefault="000E66AE" w:rsidP="000E66AE">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 xml:space="preserve">Articolul 13. </w:t>
            </w:r>
            <w:r w:rsidR="00AE30F9" w:rsidRPr="00AE30F9">
              <w:rPr>
                <w:rFonts w:ascii="Times New Roman" w:hAnsi="Times New Roman" w:cs="Times New Roman"/>
                <w:b/>
                <w:sz w:val="20"/>
                <w:szCs w:val="20"/>
                <w:lang w:val="ro-RO" w:eastAsia="ro-RO"/>
              </w:rPr>
              <w:t>Autorizația de firmă de investiții</w:t>
            </w:r>
          </w:p>
          <w:p w14:paraId="56B88A5D" w14:textId="77777777" w:rsidR="0030706D" w:rsidRPr="00C71263" w:rsidRDefault="000E66AE" w:rsidP="000E66AE">
            <w:pPr>
              <w:spacing w:after="0" w:line="240" w:lineRule="auto"/>
              <w:rPr>
                <w:rFonts w:ascii="Times New Roman" w:eastAsia="Times New Roman" w:hAnsi="Times New Roman" w:cs="Times New Roman"/>
                <w:b/>
                <w:iCs/>
                <w:sz w:val="20"/>
                <w:szCs w:val="20"/>
                <w:lang w:val="ro-RO" w:eastAsia="ro-RO"/>
              </w:rPr>
            </w:pPr>
            <w:r>
              <w:rPr>
                <w:rFonts w:ascii="Times New Roman" w:hAnsi="Times New Roman" w:cs="Times New Roman"/>
                <w:sz w:val="20"/>
                <w:szCs w:val="20"/>
                <w:lang w:val="ro-RO" w:eastAsia="ro-RO"/>
              </w:rPr>
              <w:t xml:space="preserve">(3) Firmele de investiții se constituie sub forma juridică de organizare de societăţi pe acţiuni conform legislaţiei cu privire la </w:t>
            </w:r>
            <w:r>
              <w:rPr>
                <w:rFonts w:ascii="Times New Roman" w:hAnsi="Times New Roman" w:cs="Times New Roman"/>
                <w:sz w:val="20"/>
                <w:szCs w:val="20"/>
                <w:lang w:val="ro-RO" w:eastAsia="ro-RO"/>
              </w:rPr>
              <w:lastRenderedPageBreak/>
              <w:t>societăţile pe acţiuni şi prezentei legi. Dispozițiile Legii nr.1134/1997 privind societăţile pe acţiuni şi ale altor legi pot fi aplicate firmelor de investiții doar în măsura în care nu contravin normelor stabilite de prezenta lege.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A0FBF6" w14:textId="77777777" w:rsidR="0030706D" w:rsidRDefault="000E66AE" w:rsidP="0030706D">
            <w:pPr>
              <w:spacing w:after="0" w:line="240" w:lineRule="auto"/>
              <w:rPr>
                <w:rFonts w:ascii="Times New Roman" w:eastAsia="Times New Roman" w:hAnsi="Times New Roman" w:cs="Times New Roman"/>
                <w:b/>
                <w:bCs/>
                <w:sz w:val="20"/>
                <w:szCs w:val="20"/>
                <w:lang w:eastAsia="ro-RO"/>
              </w:rPr>
            </w:pPr>
            <w:r w:rsidRPr="0030706D">
              <w:rPr>
                <w:rFonts w:ascii="Times New Roman" w:eastAsia="Times New Roman" w:hAnsi="Times New Roman" w:cs="Times New Roman"/>
                <w:b/>
                <w:bCs/>
                <w:sz w:val="20"/>
                <w:szCs w:val="20"/>
                <w:lang w:eastAsia="ro-RO"/>
              </w:rPr>
              <w:lastRenderedPageBreak/>
              <w:t>Centrul de Armonizare a</w:t>
            </w:r>
            <w:r>
              <w:rPr>
                <w:rFonts w:ascii="Times New Roman" w:eastAsia="Times New Roman" w:hAnsi="Times New Roman" w:cs="Times New Roman"/>
                <w:b/>
                <w:bCs/>
                <w:sz w:val="20"/>
                <w:szCs w:val="20"/>
                <w:lang w:eastAsia="ro-RO"/>
              </w:rPr>
              <w:t xml:space="preserve"> </w:t>
            </w:r>
            <w:r w:rsidRPr="0030706D">
              <w:rPr>
                <w:rFonts w:ascii="Times New Roman" w:eastAsia="Times New Roman" w:hAnsi="Times New Roman" w:cs="Times New Roman"/>
                <w:b/>
                <w:bCs/>
                <w:sz w:val="20"/>
                <w:szCs w:val="20"/>
                <w:lang w:eastAsia="ro-RO"/>
              </w:rPr>
              <w:t>Legislației</w:t>
            </w:r>
          </w:p>
          <w:p w14:paraId="3AEECE9B" w14:textId="77777777" w:rsidR="00263797" w:rsidRPr="00984273" w:rsidRDefault="00263797" w:rsidP="0026379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nr.31/02-</w:t>
            </w:r>
          </w:p>
          <w:p w14:paraId="7678D9A9" w14:textId="77777777" w:rsidR="00263797" w:rsidRPr="0030706D" w:rsidRDefault="00263797" w:rsidP="00263797">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lastRenderedPageBreak/>
              <w:t>126-5541 din 15.05.2026)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5432D65" w14:textId="77777777" w:rsidR="0030706D" w:rsidRPr="00C936B6"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9</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13F0D" w14:textId="77777777" w:rsidR="0030706D" w:rsidRPr="0030706D" w:rsidRDefault="0030706D" w:rsidP="0030706D">
            <w:pPr>
              <w:spacing w:after="0" w:line="240" w:lineRule="auto"/>
              <w:jc w:val="both"/>
              <w:rPr>
                <w:rFonts w:ascii="Times New Roman" w:hAnsi="Times New Roman" w:cs="Times New Roman"/>
                <w:i/>
                <w:iCs/>
                <w:sz w:val="20"/>
                <w:szCs w:val="20"/>
                <w:lang w:val="ro-RO" w:eastAsia="ro-RO"/>
              </w:rPr>
            </w:pPr>
            <w:r>
              <w:rPr>
                <w:rFonts w:ascii="Times New Roman" w:hAnsi="Times New Roman" w:cs="Times New Roman"/>
                <w:sz w:val="20"/>
                <w:szCs w:val="20"/>
                <w:lang w:val="ro-RO" w:eastAsia="ro-RO"/>
              </w:rPr>
              <w:t xml:space="preserve">- [...] </w:t>
            </w:r>
            <w:r w:rsidRPr="0030706D">
              <w:rPr>
                <w:rFonts w:ascii="Times New Roman" w:hAnsi="Times New Roman" w:cs="Times New Roman"/>
                <w:sz w:val="20"/>
                <w:szCs w:val="20"/>
                <w:lang w:val="ro-RO" w:eastAsia="ro-RO"/>
              </w:rPr>
              <w:t>Totodată, nu este transpusă expres cerința prevăzută la art. 5 (4) din Directiva 2014/65/UE privind obligația ca firma de investiții să aibă sediul principal în același stat în care se află sediul social sau în statul în care își desfășoară efectiv activitatea.</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CBADF" w14:textId="77777777" w:rsidR="000E66AE" w:rsidRDefault="000E66AE" w:rsidP="0030706D">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Se acceptă</w:t>
            </w:r>
          </w:p>
          <w:p w14:paraId="1BAA0575" w14:textId="77777777" w:rsidR="000E66AE" w:rsidRDefault="000E66AE" w:rsidP="0030706D">
            <w:pPr>
              <w:spacing w:after="0" w:line="240" w:lineRule="auto"/>
              <w:jc w:val="both"/>
              <w:rPr>
                <w:rFonts w:ascii="Times New Roman" w:hAnsi="Times New Roman" w:cs="Times New Roman"/>
                <w:b/>
                <w:sz w:val="20"/>
                <w:szCs w:val="20"/>
                <w:lang w:val="ro-RO" w:eastAsia="ro-RO"/>
              </w:rPr>
            </w:pPr>
            <w:r w:rsidRPr="000E66AE">
              <w:rPr>
                <w:rFonts w:ascii="Times New Roman" w:hAnsi="Times New Roman" w:cs="Times New Roman"/>
                <w:bCs/>
                <w:sz w:val="20"/>
                <w:szCs w:val="20"/>
                <w:lang w:val="ro-RO" w:eastAsia="ro-RO"/>
              </w:rPr>
              <w:t xml:space="preserve">Cerința art.5 alin.(4) din </w:t>
            </w:r>
            <w:r>
              <w:rPr>
                <w:rFonts w:ascii="Times New Roman" w:hAnsi="Times New Roman" w:cs="Times New Roman"/>
                <w:sz w:val="20"/>
                <w:szCs w:val="20"/>
                <w:lang w:val="ro-RO" w:eastAsia="ro-RO"/>
              </w:rPr>
              <w:t>Directiva 2014/65/UE</w:t>
            </w:r>
            <w:r w:rsidRPr="000E66AE">
              <w:rPr>
                <w:rFonts w:ascii="Times New Roman" w:hAnsi="Times New Roman" w:cs="Times New Roman"/>
                <w:bCs/>
                <w:sz w:val="20"/>
                <w:szCs w:val="20"/>
                <w:lang w:val="ro-RO" w:eastAsia="ro-RO"/>
              </w:rPr>
              <w:t xml:space="preserve"> era reflectată în redacția inițială prin obligația constituirii firmei de investiții ca societate pe acțiuni conform legislației </w:t>
            </w:r>
            <w:r w:rsidRPr="000E66AE">
              <w:rPr>
                <w:rFonts w:ascii="Times New Roman" w:hAnsi="Times New Roman" w:cs="Times New Roman"/>
                <w:bCs/>
                <w:sz w:val="20"/>
                <w:szCs w:val="20"/>
                <w:lang w:val="ro-RO" w:eastAsia="ro-RO"/>
              </w:rPr>
              <w:lastRenderedPageBreak/>
              <w:t xml:space="preserve">naționale, </w:t>
            </w:r>
            <w:r>
              <w:rPr>
                <w:rFonts w:ascii="Times New Roman" w:hAnsi="Times New Roman" w:cs="Times New Roman"/>
                <w:bCs/>
                <w:sz w:val="20"/>
                <w:szCs w:val="20"/>
                <w:lang w:val="ro-RO" w:eastAsia="ro-RO"/>
              </w:rPr>
              <w:t xml:space="preserve">ceea ce implicit impune </w:t>
            </w:r>
            <w:r w:rsidRPr="000E66AE">
              <w:rPr>
                <w:rFonts w:ascii="Times New Roman" w:hAnsi="Times New Roman" w:cs="Times New Roman"/>
                <w:bCs/>
                <w:sz w:val="20"/>
                <w:szCs w:val="20"/>
                <w:lang w:val="ro-RO" w:eastAsia="ro-RO"/>
              </w:rPr>
              <w:t>localizarea sediului persoanei juridice pe teritoriul Republicii Moldova.</w:t>
            </w:r>
            <w:r>
              <w:rPr>
                <w:rFonts w:ascii="Times New Roman" w:hAnsi="Times New Roman" w:cs="Times New Roman"/>
                <w:bCs/>
                <w:sz w:val="20"/>
                <w:szCs w:val="20"/>
                <w:lang w:val="ro-RO" w:eastAsia="ro-RO"/>
              </w:rPr>
              <w:t xml:space="preserve"> Î</w:t>
            </w:r>
            <w:r w:rsidRPr="000E66AE">
              <w:rPr>
                <w:rFonts w:ascii="Times New Roman" w:hAnsi="Times New Roman" w:cs="Times New Roman"/>
                <w:bCs/>
                <w:sz w:val="20"/>
                <w:szCs w:val="20"/>
                <w:lang w:val="ro-RO" w:eastAsia="ro-RO"/>
              </w:rPr>
              <w:t>n eventualitatea în care dispozițiile legislației privind societățile pe acțiuni nu ar acoperi în mod expres această ipoteză, art.13 alin.(3) din proiect</w:t>
            </w:r>
            <w:r w:rsidRPr="000E66AE">
              <w:rPr>
                <w:rFonts w:ascii="Times New Roman" w:hAnsi="Times New Roman" w:cs="Times New Roman"/>
                <w:b/>
                <w:sz w:val="20"/>
                <w:szCs w:val="20"/>
                <w:lang w:val="ro-RO" w:eastAsia="ro-RO"/>
              </w:rPr>
              <w:t xml:space="preserve"> </w:t>
            </w:r>
            <w:r w:rsidRPr="00505216">
              <w:rPr>
                <w:rFonts w:ascii="Times New Roman" w:hAnsi="Times New Roman" w:cs="Times New Roman"/>
                <w:bCs/>
                <w:sz w:val="20"/>
                <w:szCs w:val="20"/>
                <w:lang w:val="ro-RO" w:eastAsia="ro-RO"/>
              </w:rPr>
              <w:t xml:space="preserve">a fost </w:t>
            </w:r>
            <w:r w:rsidR="00505216" w:rsidRPr="00505216">
              <w:rPr>
                <w:rFonts w:ascii="Times New Roman" w:hAnsi="Times New Roman" w:cs="Times New Roman"/>
                <w:bCs/>
                <w:sz w:val="20"/>
                <w:szCs w:val="20"/>
                <w:lang w:val="ro-RO" w:eastAsia="ro-RO"/>
              </w:rPr>
              <w:t>modificat după cum urmează:</w:t>
            </w:r>
          </w:p>
          <w:p w14:paraId="64A02A80" w14:textId="77777777" w:rsidR="00505216" w:rsidRPr="00505216" w:rsidRDefault="00505216" w:rsidP="0030706D">
            <w:pPr>
              <w:spacing w:after="0" w:line="240" w:lineRule="auto"/>
              <w:jc w:val="both"/>
              <w:rPr>
                <w:rFonts w:ascii="Times New Roman" w:hAnsi="Times New Roman" w:cs="Times New Roman"/>
                <w:bCs/>
                <w:sz w:val="20"/>
                <w:szCs w:val="20"/>
                <w:lang w:val="ro-RO" w:eastAsia="ro-RO"/>
              </w:rPr>
            </w:pPr>
            <w:r w:rsidRPr="00505216">
              <w:rPr>
                <w:rFonts w:ascii="Times New Roman" w:hAnsi="Times New Roman" w:cs="Times New Roman"/>
                <w:bCs/>
                <w:sz w:val="20"/>
                <w:szCs w:val="20"/>
                <w:lang w:val="ro-RO" w:eastAsia="ro-RO"/>
              </w:rPr>
              <w:t xml:space="preserve">(3) Firmele de investiții </w:t>
            </w:r>
            <w:r w:rsidRPr="00505216">
              <w:rPr>
                <w:rFonts w:ascii="Times New Roman" w:hAnsi="Times New Roman" w:cs="Times New Roman"/>
                <w:b/>
                <w:sz w:val="20"/>
                <w:szCs w:val="20"/>
                <w:lang w:val="ro-RO" w:eastAsia="ro-RO"/>
              </w:rPr>
              <w:t>autorizate de CNPF au sediul în Republica Moldova</w:t>
            </w:r>
            <w:r w:rsidRPr="00505216">
              <w:rPr>
                <w:rFonts w:ascii="Times New Roman" w:hAnsi="Times New Roman" w:cs="Times New Roman"/>
                <w:bCs/>
                <w:sz w:val="20"/>
                <w:szCs w:val="20"/>
                <w:lang w:val="ro-RO" w:eastAsia="ro-RO"/>
              </w:rPr>
              <w:t xml:space="preserve"> și se constituie sub forma juridică de societate pe acţiuni conform legislaţiei cu privire la societăţile pe acţiuni şi prezentei legi. Dispozițiile Legii nr.1134/1997 privind societăţile pe acţiuni şi ale altor legi pot fi aplicate firmelor de investiții doar în măsura în care nu contravin normelor stabilite de prezenta lege.</w:t>
            </w:r>
          </w:p>
        </w:tc>
      </w:tr>
      <w:tr w:rsidR="007B175E" w:rsidRPr="009B7C97" w14:paraId="78AB114C"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B805DE" w14:textId="77777777" w:rsidR="003A11EA" w:rsidRPr="003A11EA" w:rsidRDefault="003A11EA" w:rsidP="003A11EA">
            <w:pPr>
              <w:spacing w:after="0" w:line="240" w:lineRule="auto"/>
              <w:jc w:val="both"/>
              <w:rPr>
                <w:rFonts w:ascii="Times New Roman" w:hAnsi="Times New Roman" w:cs="Times New Roman"/>
                <w:b/>
                <w:bCs/>
                <w:iCs/>
                <w:sz w:val="20"/>
                <w:szCs w:val="20"/>
                <w:lang w:val="ro-RO" w:eastAsia="ro-RO"/>
              </w:rPr>
            </w:pPr>
            <w:bookmarkStart w:id="4" w:name="_Toc223708604"/>
            <w:r w:rsidRPr="003A11EA">
              <w:rPr>
                <w:rFonts w:ascii="Times New Roman" w:hAnsi="Times New Roman" w:cs="Times New Roman"/>
                <w:b/>
                <w:bCs/>
                <w:iCs/>
                <w:sz w:val="20"/>
                <w:szCs w:val="20"/>
                <w:lang w:val="ro-RO" w:eastAsia="ro-RO"/>
              </w:rPr>
              <w:lastRenderedPageBreak/>
              <w:t>Articolul 13. Autorizația de firmă de investiți</w:t>
            </w:r>
            <w:bookmarkEnd w:id="4"/>
            <w:r w:rsidRPr="003A11EA">
              <w:rPr>
                <w:rFonts w:ascii="Times New Roman" w:hAnsi="Times New Roman" w:cs="Times New Roman"/>
                <w:b/>
                <w:bCs/>
                <w:iCs/>
                <w:sz w:val="20"/>
                <w:szCs w:val="20"/>
                <w:lang w:val="ro-RO" w:eastAsia="ro-RO"/>
              </w:rPr>
              <w:t>i</w:t>
            </w:r>
          </w:p>
          <w:p w14:paraId="61C60477" w14:textId="77777777" w:rsidR="003A11EA" w:rsidRDefault="003A11EA" w:rsidP="007B175E">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w:t>
            </w:r>
          </w:p>
          <w:p w14:paraId="04A63BE0" w14:textId="77777777" w:rsidR="007B175E" w:rsidRPr="003A11EA" w:rsidRDefault="003A11EA" w:rsidP="007B175E">
            <w:pPr>
              <w:spacing w:after="0" w:line="240" w:lineRule="auto"/>
              <w:jc w:val="both"/>
              <w:rPr>
                <w:rFonts w:ascii="Times New Roman" w:hAnsi="Times New Roman" w:cs="Times New Roman"/>
                <w:bCs/>
                <w:sz w:val="20"/>
                <w:szCs w:val="20"/>
                <w:lang w:val="ro-RO" w:eastAsia="ro-RO"/>
              </w:rPr>
            </w:pPr>
            <w:r w:rsidRPr="003A11EA">
              <w:rPr>
                <w:rFonts w:ascii="Times New Roman" w:hAnsi="Times New Roman" w:cs="Times New Roman"/>
                <w:bCs/>
                <w:sz w:val="20"/>
                <w:szCs w:val="20"/>
                <w:lang w:val="ro-RO" w:eastAsia="ro-RO"/>
              </w:rPr>
              <w:t>(17) Activităţile firmei de investiţii ce ţin de prelucrarea datelor cu caracter personal se desfăşoară în conformitate cu prevederile Legii nr.195/2024 privind protecția datelor cu caracter personal şi ale altor prevederi legale în vigoare în domeniul protecţiei datelor cu caracter personal.</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853B067" w14:textId="77777777" w:rsidR="007B175E" w:rsidRDefault="007B175E"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3DA349D1" w14:textId="77777777" w:rsidR="00263797" w:rsidRPr="0030706D"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C53AE11"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10</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9A587" w14:textId="77777777" w:rsidR="007B175E" w:rsidRPr="003A11EA" w:rsidRDefault="007B175E" w:rsidP="007B175E">
            <w:pPr>
              <w:spacing w:after="0" w:line="240" w:lineRule="auto"/>
              <w:jc w:val="both"/>
              <w:rPr>
                <w:rFonts w:ascii="Times New Roman" w:hAnsi="Times New Roman" w:cs="Times New Roman"/>
                <w:sz w:val="20"/>
                <w:szCs w:val="20"/>
                <w:lang w:val="ro-RO" w:eastAsia="ro-RO"/>
              </w:rPr>
            </w:pPr>
            <w:r w:rsidRPr="003A11EA">
              <w:rPr>
                <w:rFonts w:ascii="Times New Roman" w:hAnsi="Times New Roman" w:cs="Times New Roman"/>
                <w:sz w:val="20"/>
                <w:szCs w:val="20"/>
                <w:lang w:eastAsia="ro-RO"/>
              </w:rPr>
              <w:t xml:space="preserve">La art.13, atenționăm că redacția alin.(17) necesită revizuire sub aspectul respectării regulilor de tehnică legislativă. Astfel, cuvintele „alte prevederi legale în vigoare în domeniul protecției datelor cu caracter personal” este redundantă, întrucât referințele la actele normative se interpretează, de regulă, ca referințe la legislația aflată în vigoare la momentul aplicării normei. Prin urmare, mențiunea expresă „în vigoare” nu adaugă conținut normativ distinct și este de natură să încarce inutil textul. Potrivit regulilor de tehnică legislativă, numai în situațiile excepționale, când se urmărește aplicarea legislației existente la un anumit moment determinat, este necesară precizarea expresă a momentului de referință. În lipsa unei asemenea intenții, referirea la „prevederile legale” este suficientă. În acest context, se recomandă excluderea sintagmei „în vigoare”, cu reformularea corespunzătoare a textului, pentru asigurarea conciziei și rigurozității normei juridice. Observația dată este valabilă pentru toate cazurile relevante din proiect. </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026B4" w14:textId="77777777" w:rsidR="007B175E" w:rsidRPr="003A11EA" w:rsidRDefault="00CE1798" w:rsidP="007B175E">
            <w:pPr>
              <w:spacing w:after="0" w:line="240" w:lineRule="auto"/>
              <w:jc w:val="both"/>
              <w:rPr>
                <w:rFonts w:ascii="Times New Roman" w:hAnsi="Times New Roman" w:cs="Times New Roman"/>
                <w:b/>
                <w:sz w:val="20"/>
                <w:szCs w:val="20"/>
                <w:lang w:eastAsia="ro-RO"/>
              </w:rPr>
            </w:pPr>
            <w:r w:rsidRPr="003A11EA">
              <w:rPr>
                <w:rFonts w:ascii="Times New Roman" w:hAnsi="Times New Roman" w:cs="Times New Roman"/>
                <w:b/>
                <w:sz w:val="20"/>
                <w:szCs w:val="20"/>
                <w:lang w:val="ro-RO" w:eastAsia="ro-RO"/>
              </w:rPr>
              <w:t>Se accept</w:t>
            </w:r>
            <w:r w:rsidRPr="003A11EA">
              <w:rPr>
                <w:rFonts w:ascii="Times New Roman" w:hAnsi="Times New Roman" w:cs="Times New Roman"/>
                <w:b/>
                <w:sz w:val="20"/>
                <w:szCs w:val="20"/>
                <w:lang w:eastAsia="ro-RO"/>
              </w:rPr>
              <w:t>ă</w:t>
            </w:r>
          </w:p>
          <w:p w14:paraId="50B98834" w14:textId="77777777" w:rsidR="003A370A" w:rsidRPr="003A11EA" w:rsidRDefault="003A370A" w:rsidP="007B175E">
            <w:pPr>
              <w:spacing w:after="0" w:line="240" w:lineRule="auto"/>
              <w:jc w:val="both"/>
              <w:rPr>
                <w:rFonts w:ascii="Times New Roman" w:hAnsi="Times New Roman" w:cs="Times New Roman"/>
                <w:bCs/>
                <w:sz w:val="20"/>
                <w:szCs w:val="20"/>
                <w:lang w:eastAsia="ro-RO"/>
              </w:rPr>
            </w:pPr>
            <w:r w:rsidRPr="003A11EA">
              <w:rPr>
                <w:rFonts w:ascii="Times New Roman" w:hAnsi="Times New Roman" w:cs="Times New Roman"/>
                <w:bCs/>
                <w:sz w:val="20"/>
                <w:szCs w:val="20"/>
                <w:lang w:eastAsia="ro-RO"/>
              </w:rPr>
              <w:t>Au fost operate modificări la art.13 alin.(17)</w:t>
            </w:r>
            <w:r w:rsidR="003A11EA">
              <w:rPr>
                <w:rFonts w:ascii="Times New Roman" w:hAnsi="Times New Roman" w:cs="Times New Roman"/>
                <w:bCs/>
                <w:sz w:val="20"/>
                <w:szCs w:val="20"/>
                <w:lang w:eastAsia="ro-RO"/>
              </w:rPr>
              <w:t xml:space="preserve"> și pe tot parcursul proiectului de lege,</w:t>
            </w:r>
            <w:r w:rsidRPr="003A11EA">
              <w:rPr>
                <w:rFonts w:ascii="Times New Roman" w:hAnsi="Times New Roman" w:cs="Times New Roman"/>
                <w:bCs/>
                <w:sz w:val="20"/>
                <w:szCs w:val="20"/>
                <w:lang w:eastAsia="ro-RO"/>
              </w:rPr>
              <w:t xml:space="preserve"> cu excluderea sintagmei „în vigoare”</w:t>
            </w:r>
            <w:r w:rsidR="00CE7D14">
              <w:rPr>
                <w:rFonts w:ascii="Times New Roman" w:hAnsi="Times New Roman" w:cs="Times New Roman"/>
                <w:bCs/>
                <w:sz w:val="20"/>
                <w:szCs w:val="20"/>
                <w:lang w:eastAsia="ro-RO"/>
              </w:rPr>
              <w:t xml:space="preserve"> </w:t>
            </w:r>
            <w:r w:rsidR="00CE7D14" w:rsidRPr="00CE7D14">
              <w:rPr>
                <w:rFonts w:ascii="Times New Roman" w:hAnsi="Times New Roman" w:cs="Times New Roman"/>
                <w:bCs/>
                <w:sz w:val="20"/>
                <w:szCs w:val="20"/>
                <w:lang w:eastAsia="ro-RO"/>
              </w:rPr>
              <w:t>acolo unde însoțea</w:t>
            </w:r>
            <w:r w:rsidR="00CE7D14">
              <w:rPr>
                <w:rFonts w:ascii="Times New Roman" w:hAnsi="Times New Roman" w:cs="Times New Roman"/>
                <w:bCs/>
                <w:sz w:val="20"/>
                <w:szCs w:val="20"/>
                <w:lang w:eastAsia="ro-RO"/>
              </w:rPr>
              <w:t xml:space="preserve"> </w:t>
            </w:r>
            <w:r w:rsidR="00CE7D14" w:rsidRPr="00CE7D14">
              <w:rPr>
                <w:rFonts w:ascii="Times New Roman" w:hAnsi="Times New Roman" w:cs="Times New Roman"/>
                <w:bCs/>
                <w:sz w:val="20"/>
                <w:szCs w:val="20"/>
                <w:lang w:eastAsia="ro-RO"/>
              </w:rPr>
              <w:t>o trimitere generală la legislație</w:t>
            </w:r>
            <w:r w:rsidR="00CE7D14">
              <w:rPr>
                <w:rFonts w:ascii="Times New Roman" w:hAnsi="Times New Roman" w:cs="Times New Roman"/>
                <w:bCs/>
                <w:sz w:val="20"/>
                <w:szCs w:val="20"/>
                <w:lang w:eastAsia="ro-RO"/>
              </w:rPr>
              <w:t>.</w:t>
            </w:r>
          </w:p>
        </w:tc>
      </w:tr>
      <w:tr w:rsidR="007B175E" w:rsidRPr="009B7C97" w14:paraId="46BC504D"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C38BB7" w14:textId="77777777" w:rsidR="00CE7D14" w:rsidRPr="00CE7D14" w:rsidRDefault="00CE7D14" w:rsidP="00CE7D14">
            <w:pPr>
              <w:spacing w:after="0" w:line="240" w:lineRule="auto"/>
              <w:jc w:val="both"/>
              <w:rPr>
                <w:rFonts w:ascii="Times New Roman" w:hAnsi="Times New Roman" w:cs="Times New Roman"/>
                <w:b/>
                <w:iCs/>
                <w:sz w:val="20"/>
                <w:szCs w:val="20"/>
                <w:lang w:val="ro-RO" w:eastAsia="ro-RO"/>
              </w:rPr>
            </w:pPr>
            <w:bookmarkStart w:id="5" w:name="_Toc223708606"/>
            <w:r w:rsidRPr="00CE7D14">
              <w:rPr>
                <w:rFonts w:ascii="Times New Roman" w:hAnsi="Times New Roman" w:cs="Times New Roman"/>
                <w:b/>
                <w:iCs/>
                <w:sz w:val="20"/>
                <w:szCs w:val="20"/>
                <w:lang w:val="ro-RO" w:eastAsia="ro-RO"/>
              </w:rPr>
              <w:t>Articolul 15. Respingerea cererii de acordare a autorizației</w:t>
            </w:r>
            <w:bookmarkEnd w:id="5"/>
          </w:p>
          <w:p w14:paraId="49D3D61A" w14:textId="77777777" w:rsidR="00CE7D14" w:rsidRPr="00CE7D14" w:rsidRDefault="00CE7D14" w:rsidP="00CE7D14">
            <w:pPr>
              <w:spacing w:after="0" w:line="240" w:lineRule="auto"/>
              <w:jc w:val="both"/>
              <w:rPr>
                <w:rFonts w:ascii="Times New Roman" w:hAnsi="Times New Roman" w:cs="Times New Roman"/>
                <w:bCs/>
                <w:sz w:val="20"/>
                <w:szCs w:val="20"/>
                <w:lang w:val="ro-RO" w:eastAsia="ro-RO"/>
              </w:rPr>
            </w:pPr>
            <w:r w:rsidRPr="00CE7D14">
              <w:rPr>
                <w:rFonts w:ascii="Times New Roman" w:hAnsi="Times New Roman" w:cs="Times New Roman"/>
                <w:bCs/>
                <w:sz w:val="20"/>
                <w:szCs w:val="20"/>
                <w:lang w:val="ro-RO" w:eastAsia="ro-RO"/>
              </w:rPr>
              <w:lastRenderedPageBreak/>
              <w:t xml:space="preserve">(1) </w:t>
            </w:r>
            <w:bookmarkStart w:id="6" w:name="_Hlk222147782"/>
            <w:r w:rsidRPr="00CE7D14">
              <w:rPr>
                <w:rFonts w:ascii="Times New Roman" w:hAnsi="Times New Roman" w:cs="Times New Roman"/>
                <w:bCs/>
                <w:sz w:val="20"/>
                <w:szCs w:val="20"/>
                <w:lang w:val="ro-RO" w:eastAsia="ro-RO"/>
              </w:rPr>
              <w:t>CNPF respinge o cerere de acordare a autorizației de firmă de investiții dacă:</w:t>
            </w:r>
          </w:p>
          <w:p w14:paraId="5EC98F7E" w14:textId="77777777" w:rsidR="00CE7D14" w:rsidRPr="00CE7D14" w:rsidRDefault="00CE7D14" w:rsidP="00CE7D14">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w:t>
            </w:r>
          </w:p>
          <w:bookmarkEnd w:id="6"/>
          <w:p w14:paraId="7592ABC3" w14:textId="77777777" w:rsidR="00CE7D14" w:rsidRPr="00CE7D14" w:rsidRDefault="00CE7D14" w:rsidP="00CE7D14">
            <w:pPr>
              <w:spacing w:after="0" w:line="240" w:lineRule="auto"/>
              <w:jc w:val="both"/>
              <w:rPr>
                <w:rFonts w:ascii="Times New Roman" w:hAnsi="Times New Roman" w:cs="Times New Roman"/>
                <w:bCs/>
                <w:sz w:val="20"/>
                <w:szCs w:val="20"/>
                <w:lang w:val="ro-RO" w:eastAsia="ro-RO"/>
              </w:rPr>
            </w:pPr>
            <w:r w:rsidRPr="00CE7D14">
              <w:rPr>
                <w:rFonts w:ascii="Times New Roman" w:hAnsi="Times New Roman" w:cs="Times New Roman"/>
                <w:bCs/>
                <w:sz w:val="20"/>
                <w:szCs w:val="20"/>
                <w:lang w:val="ro-RO" w:eastAsia="ro-RO"/>
              </w:rPr>
              <w:t>d) CNPF nu este satisfăcută de calitatea membrilor organului de conducere al firmei de investiții sau, după caz, a persoanelor care dețin funcții-cheie, întrucât reputaţia, cunoștințele, competențele sau experienţa profesională a acestora nu este adecvată naturii, volumului şi complexităţii activităţii firmei de investiții sau nu corespunde necesităţii asigurării unei administrări corecte și prudente, conform art.20;</w:t>
            </w:r>
          </w:p>
          <w:p w14:paraId="16D453A0" w14:textId="77777777" w:rsidR="00CE7D14" w:rsidRPr="00CE7D14" w:rsidRDefault="00CE7D14" w:rsidP="00CE7D14">
            <w:pPr>
              <w:spacing w:after="0" w:line="240" w:lineRule="auto"/>
              <w:jc w:val="both"/>
              <w:rPr>
                <w:rFonts w:ascii="Times New Roman" w:hAnsi="Times New Roman" w:cs="Times New Roman"/>
                <w:bCs/>
                <w:sz w:val="20"/>
                <w:szCs w:val="20"/>
                <w:lang w:val="ro-RO" w:eastAsia="ro-RO"/>
              </w:rPr>
            </w:pPr>
            <w:r w:rsidRPr="00CE7D14">
              <w:rPr>
                <w:rFonts w:ascii="Times New Roman" w:hAnsi="Times New Roman" w:cs="Times New Roman"/>
                <w:bCs/>
                <w:sz w:val="20"/>
                <w:szCs w:val="20"/>
                <w:lang w:val="ro-RO" w:eastAsia="ro-RO"/>
              </w:rPr>
              <w:t>e) CNPF nu este satisfăcută de calitatea acţionarilor direcţi sau indirecţi, inclusiv a beneficiarului efectiv al firmei de investiții, întrucât aceştia nu corespund cerinţelor prevăzute de prezenta lege şi actele normative emise pentru executarea acesteia;</w:t>
            </w:r>
          </w:p>
          <w:p w14:paraId="6A98D74C" w14:textId="77777777" w:rsidR="00CE7D14" w:rsidRDefault="00CE7D14" w:rsidP="00CE7D14">
            <w:pPr>
              <w:spacing w:after="0" w:line="240" w:lineRule="auto"/>
              <w:jc w:val="both"/>
              <w:rPr>
                <w:rFonts w:ascii="Times New Roman" w:hAnsi="Times New Roman" w:cs="Times New Roman"/>
                <w:bCs/>
                <w:sz w:val="20"/>
                <w:szCs w:val="20"/>
                <w:lang w:val="ro-RO" w:eastAsia="ro-RO"/>
              </w:rPr>
            </w:pPr>
            <w:r w:rsidRPr="00CE7D14">
              <w:rPr>
                <w:rFonts w:ascii="Times New Roman" w:hAnsi="Times New Roman" w:cs="Times New Roman"/>
                <w:bCs/>
                <w:sz w:val="20"/>
                <w:szCs w:val="20"/>
                <w:lang w:val="ro-RO" w:eastAsia="ro-RO"/>
              </w:rPr>
              <w:t>f) există legături strânse între firma de investiții şi alte persoane fizice sau juridice de natură să împiedice exercitarea eficientă de CNPF a competențelor sale de supraveghere;</w:t>
            </w:r>
          </w:p>
          <w:p w14:paraId="048864F7" w14:textId="77777777" w:rsidR="00CE7D14" w:rsidRPr="00CE7D14" w:rsidRDefault="00CE7D14" w:rsidP="00CE7D14">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w:t>
            </w:r>
          </w:p>
          <w:p w14:paraId="7F960FD9" w14:textId="77777777" w:rsidR="007B175E" w:rsidRDefault="007B175E" w:rsidP="007B175E">
            <w:pPr>
              <w:spacing w:after="0" w:line="240" w:lineRule="auto"/>
              <w:jc w:val="both"/>
              <w:rPr>
                <w:rFonts w:ascii="Times New Roman" w:hAnsi="Times New Roman" w:cs="Times New Roman"/>
                <w:b/>
                <w:sz w:val="20"/>
                <w:szCs w:val="20"/>
                <w:lang w:val="ro-RO" w:eastAsia="ro-RO"/>
              </w:rPr>
            </w:pP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AEAF9E8" w14:textId="77777777" w:rsidR="007B175E" w:rsidRDefault="007B175E"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Ministerul Justiției</w:t>
            </w:r>
          </w:p>
          <w:p w14:paraId="63821FB5" w14:textId="77777777" w:rsidR="00263797" w:rsidRPr="0030706D"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2074836"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11</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69F0D8" w14:textId="77777777" w:rsidR="007B175E" w:rsidRPr="003A11EA" w:rsidRDefault="007B175E" w:rsidP="007B175E">
            <w:pPr>
              <w:spacing w:after="0" w:line="240" w:lineRule="auto"/>
              <w:jc w:val="both"/>
              <w:rPr>
                <w:rFonts w:ascii="Times New Roman" w:hAnsi="Times New Roman" w:cs="Times New Roman"/>
                <w:sz w:val="20"/>
                <w:szCs w:val="20"/>
                <w:lang w:eastAsia="ro-RO"/>
              </w:rPr>
            </w:pPr>
            <w:r w:rsidRPr="003A11EA">
              <w:rPr>
                <w:rFonts w:ascii="Times New Roman" w:hAnsi="Times New Roman" w:cs="Times New Roman"/>
                <w:sz w:val="20"/>
                <w:szCs w:val="20"/>
                <w:lang w:eastAsia="ro-RO"/>
              </w:rPr>
              <w:t xml:space="preserve">Prevederile art.15 alin.(1) lit.d)-f) necesită revizuire sub aspectul clarității și previzibilității normei. Temeiurile de respingere a cererii sunt formulate prin raportare la aprecierea subiectivă a autorității </w:t>
            </w:r>
            <w:r w:rsidRPr="003A11EA">
              <w:rPr>
                <w:rFonts w:ascii="Times New Roman" w:hAnsi="Times New Roman" w:cs="Times New Roman"/>
                <w:sz w:val="20"/>
                <w:szCs w:val="20"/>
                <w:lang w:eastAsia="ro-RO"/>
              </w:rPr>
              <w:lastRenderedPageBreak/>
              <w:t>(„CNPF nu este satisfăcută de calitatea...”), fără a rezulta cu suficientă claritate criteriile obiective în baza cărora se constată necorespunderea persoanelor vizate.</w:t>
            </w:r>
          </w:p>
          <w:p w14:paraId="47497545" w14:textId="77777777" w:rsidR="007B175E" w:rsidRPr="003A11EA" w:rsidRDefault="007B175E" w:rsidP="007B175E">
            <w:pPr>
              <w:spacing w:after="0" w:line="240" w:lineRule="auto"/>
              <w:jc w:val="both"/>
              <w:rPr>
                <w:rFonts w:ascii="Times New Roman" w:hAnsi="Times New Roman" w:cs="Times New Roman"/>
                <w:sz w:val="20"/>
                <w:szCs w:val="20"/>
                <w:lang w:eastAsia="ro-RO"/>
              </w:rPr>
            </w:pPr>
            <w:r w:rsidRPr="003A11EA">
              <w:rPr>
                <w:rFonts w:ascii="Times New Roman" w:hAnsi="Times New Roman" w:cs="Times New Roman"/>
                <w:sz w:val="20"/>
                <w:szCs w:val="20"/>
                <w:lang w:eastAsia="ro-RO"/>
              </w:rPr>
              <w:t>În particular, noțiuni precum „calitatea membrilor organului de conducere”, „calitatea acționarilor” sau lipsa satisfacerii autorității în privința reputației, competențelor ori experienței profesionale nu sunt corelate în mod explicit cu criterii verificabile și măsurabile în cadrul normei analizate. O asemenea formulare poate lăsa spațiu excesiv de apreciere discreționară autorității competente și poate crea dificultăți în evaluarea conformității solicitanților cu cerințele legale.</w:t>
            </w:r>
          </w:p>
          <w:p w14:paraId="6824B9FF" w14:textId="77777777" w:rsidR="007B175E" w:rsidRPr="003A11EA" w:rsidRDefault="007B175E" w:rsidP="007B175E">
            <w:pPr>
              <w:spacing w:after="0" w:line="240" w:lineRule="auto"/>
              <w:jc w:val="both"/>
              <w:rPr>
                <w:rFonts w:ascii="Times New Roman" w:hAnsi="Times New Roman" w:cs="Times New Roman"/>
                <w:sz w:val="20"/>
                <w:szCs w:val="20"/>
                <w:lang w:val="ro-RO" w:eastAsia="ro-RO"/>
              </w:rPr>
            </w:pPr>
            <w:r w:rsidRPr="003A11EA">
              <w:rPr>
                <w:rFonts w:ascii="Times New Roman" w:hAnsi="Times New Roman" w:cs="Times New Roman"/>
                <w:sz w:val="20"/>
                <w:szCs w:val="20"/>
                <w:lang w:eastAsia="ro-RO"/>
              </w:rPr>
              <w:t>Astfel, reieșind din cele expuse mai sus, precum și în vederea respectării principiilor securității juridice, previzibilității și clarității normei, se recomandă reformularea dispozițiilor prin stabilirea unor criterii obiective și suficient de determinate pentru aprecierea reputației, competenței, experienței profesionale și a calității acționarilor ori prin trimitere expresă la dispozițiile legale care reglementează în detaliu aceste condiții. Astfel, temeiurile de respingere a cererii vor fi formulate într-o manieră care să permită destinatarilor normei să prevadă consecințele juridice ale neîndeplinirii cerințelor legale și să asigure un control efectiv al deciziilor emise de autoritatea competentă.</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0054FC" w14:textId="77777777" w:rsidR="007B175E" w:rsidRDefault="007C7A73" w:rsidP="007B175E">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lastRenderedPageBreak/>
              <w:t>Nu se acceptă</w:t>
            </w:r>
          </w:p>
          <w:p w14:paraId="7BC93038" w14:textId="77777777" w:rsidR="007C7A73" w:rsidRPr="007C7A73" w:rsidRDefault="007C7A73" w:rsidP="007C7A73">
            <w:pPr>
              <w:spacing w:after="0" w:line="240" w:lineRule="auto"/>
              <w:jc w:val="both"/>
              <w:rPr>
                <w:rFonts w:ascii="Times New Roman" w:hAnsi="Times New Roman" w:cs="Times New Roman"/>
                <w:bCs/>
                <w:sz w:val="20"/>
                <w:szCs w:val="20"/>
                <w:lang w:val="ro-RO" w:eastAsia="ro-RO"/>
              </w:rPr>
            </w:pPr>
            <w:r w:rsidRPr="007C7A73">
              <w:rPr>
                <w:rFonts w:ascii="Times New Roman" w:hAnsi="Times New Roman" w:cs="Times New Roman"/>
                <w:bCs/>
                <w:sz w:val="20"/>
                <w:szCs w:val="20"/>
                <w:lang w:val="ro-RO" w:eastAsia="ro-RO"/>
              </w:rPr>
              <w:t xml:space="preserve">Temeiurile de respingere prevăzute la art.15 alin.(1) lit.d)-f) transpun fidel dispozițiile </w:t>
            </w:r>
            <w:r w:rsidRPr="007C7A73">
              <w:rPr>
                <w:rFonts w:ascii="Times New Roman" w:hAnsi="Times New Roman" w:cs="Times New Roman"/>
                <w:bCs/>
                <w:sz w:val="20"/>
                <w:szCs w:val="20"/>
                <w:lang w:val="ro-RO" w:eastAsia="ro-RO"/>
              </w:rPr>
              <w:lastRenderedPageBreak/>
              <w:t>corespondente din Directiva 2014/65/UE: lit.d</w:t>
            </w:r>
            <w:r>
              <w:rPr>
                <w:rFonts w:ascii="Times New Roman" w:hAnsi="Times New Roman" w:cs="Times New Roman"/>
                <w:bCs/>
                <w:sz w:val="20"/>
                <w:szCs w:val="20"/>
                <w:lang w:val="ro-RO" w:eastAsia="ro-RO"/>
              </w:rPr>
              <w:t xml:space="preserve">) – </w:t>
            </w:r>
            <w:r w:rsidRPr="007C7A73">
              <w:rPr>
                <w:rFonts w:ascii="Times New Roman" w:hAnsi="Times New Roman" w:cs="Times New Roman"/>
                <w:bCs/>
                <w:sz w:val="20"/>
                <w:szCs w:val="20"/>
                <w:lang w:val="ro-RO" w:eastAsia="ro-RO"/>
              </w:rPr>
              <w:t xml:space="preserve">art.9 alin.(4); lit.e) </w:t>
            </w:r>
            <w:r>
              <w:rPr>
                <w:rFonts w:ascii="Times New Roman" w:hAnsi="Times New Roman" w:cs="Times New Roman"/>
                <w:bCs/>
                <w:sz w:val="20"/>
                <w:szCs w:val="20"/>
                <w:lang w:val="ro-RO" w:eastAsia="ro-RO"/>
              </w:rPr>
              <w:t>-</w:t>
            </w:r>
            <w:r w:rsidRPr="007C7A73">
              <w:rPr>
                <w:rFonts w:ascii="Times New Roman" w:hAnsi="Times New Roman" w:cs="Times New Roman"/>
                <w:bCs/>
                <w:sz w:val="20"/>
                <w:szCs w:val="20"/>
                <w:lang w:val="ro-RO" w:eastAsia="ro-RO"/>
              </w:rPr>
              <w:t xml:space="preserve"> art.10 alin.(1) al doilea paragraf; lit.f) </w:t>
            </w:r>
            <w:r>
              <w:rPr>
                <w:rFonts w:ascii="Times New Roman" w:hAnsi="Times New Roman" w:cs="Times New Roman"/>
                <w:bCs/>
                <w:sz w:val="20"/>
                <w:szCs w:val="20"/>
                <w:lang w:val="ro-RO" w:eastAsia="ro-RO"/>
              </w:rPr>
              <w:t>-</w:t>
            </w:r>
            <w:r w:rsidRPr="007C7A73">
              <w:rPr>
                <w:rFonts w:ascii="Times New Roman" w:hAnsi="Times New Roman" w:cs="Times New Roman"/>
                <w:bCs/>
                <w:sz w:val="20"/>
                <w:szCs w:val="20"/>
                <w:lang w:val="ro-RO" w:eastAsia="ro-RO"/>
              </w:rPr>
              <w:t xml:space="preserve"> art.10 alin.(1) al treilea paragraf.</w:t>
            </w:r>
          </w:p>
          <w:p w14:paraId="704BCB07" w14:textId="77777777" w:rsidR="007C7A73" w:rsidRPr="007C7A73" w:rsidRDefault="007C7A73" w:rsidP="007C7A73">
            <w:pPr>
              <w:spacing w:after="0" w:line="240" w:lineRule="auto"/>
              <w:jc w:val="both"/>
              <w:rPr>
                <w:rFonts w:ascii="Times New Roman" w:hAnsi="Times New Roman" w:cs="Times New Roman"/>
                <w:bCs/>
                <w:sz w:val="20"/>
                <w:szCs w:val="20"/>
                <w:lang w:val="ro-RO" w:eastAsia="ro-RO"/>
              </w:rPr>
            </w:pPr>
          </w:p>
          <w:p w14:paraId="26B8C0F5" w14:textId="77777777" w:rsidR="007C7A73" w:rsidRPr="007C7A73" w:rsidRDefault="007C7A73" w:rsidP="007C7A73">
            <w:pPr>
              <w:spacing w:after="0" w:line="240" w:lineRule="auto"/>
              <w:jc w:val="both"/>
              <w:rPr>
                <w:rFonts w:ascii="Times New Roman" w:hAnsi="Times New Roman" w:cs="Times New Roman"/>
                <w:bCs/>
                <w:sz w:val="20"/>
                <w:szCs w:val="20"/>
                <w:lang w:val="ro-RO" w:eastAsia="ro-RO"/>
              </w:rPr>
            </w:pPr>
            <w:r w:rsidRPr="007C7A73">
              <w:rPr>
                <w:rFonts w:ascii="Times New Roman" w:hAnsi="Times New Roman" w:cs="Times New Roman"/>
                <w:bCs/>
                <w:sz w:val="20"/>
                <w:szCs w:val="20"/>
                <w:lang w:val="ro-RO" w:eastAsia="ro-RO"/>
              </w:rPr>
              <w:t>Potrivit pct.24 din Regulamentul aprobat prin Hotărârea Guvernului nr.1171/2018, aceste formulări se preiau fără devieri; înlocuirea standardului de adecvare cu criterii rigide ar denatura transpunerea și natura evaluării prudențiale într-un domeniu sensibil.</w:t>
            </w:r>
          </w:p>
          <w:p w14:paraId="18CF42C2" w14:textId="77777777" w:rsidR="007C7A73" w:rsidRPr="007C7A73" w:rsidRDefault="007C7A73" w:rsidP="007C7A73">
            <w:pPr>
              <w:spacing w:after="0" w:line="240" w:lineRule="auto"/>
              <w:jc w:val="both"/>
              <w:rPr>
                <w:rFonts w:ascii="Times New Roman" w:hAnsi="Times New Roman" w:cs="Times New Roman"/>
                <w:bCs/>
                <w:sz w:val="20"/>
                <w:szCs w:val="20"/>
                <w:lang w:val="ro-RO" w:eastAsia="ro-RO"/>
              </w:rPr>
            </w:pPr>
          </w:p>
          <w:p w14:paraId="6240D874" w14:textId="77777777" w:rsidR="007C7A73" w:rsidRPr="007C7A73" w:rsidRDefault="007C7A73" w:rsidP="007C7A73">
            <w:pPr>
              <w:spacing w:after="0" w:line="240" w:lineRule="auto"/>
              <w:jc w:val="both"/>
              <w:rPr>
                <w:rFonts w:ascii="Times New Roman" w:hAnsi="Times New Roman" w:cs="Times New Roman"/>
                <w:bCs/>
                <w:sz w:val="20"/>
                <w:szCs w:val="20"/>
                <w:lang w:val="ro-RO" w:eastAsia="ro-RO"/>
              </w:rPr>
            </w:pPr>
            <w:r w:rsidRPr="007C7A73">
              <w:rPr>
                <w:rFonts w:ascii="Times New Roman" w:hAnsi="Times New Roman" w:cs="Times New Roman"/>
                <w:bCs/>
                <w:sz w:val="20"/>
                <w:szCs w:val="20"/>
                <w:lang w:val="ro-RO" w:eastAsia="ro-RO"/>
              </w:rPr>
              <w:t>Norma nu instituie o apreciere arbitrară: criteriile sunt determinate și corelate</w:t>
            </w:r>
            <w:r>
              <w:rPr>
                <w:rFonts w:ascii="Times New Roman" w:hAnsi="Times New Roman" w:cs="Times New Roman"/>
                <w:bCs/>
                <w:sz w:val="20"/>
                <w:szCs w:val="20"/>
                <w:lang w:val="ro-RO" w:eastAsia="ro-RO"/>
              </w:rPr>
              <w:t xml:space="preserve">; de exemplu, </w:t>
            </w:r>
            <w:r w:rsidRPr="007C7A73">
              <w:rPr>
                <w:rFonts w:ascii="Times New Roman" w:hAnsi="Times New Roman" w:cs="Times New Roman"/>
                <w:bCs/>
                <w:sz w:val="20"/>
                <w:szCs w:val="20"/>
                <w:lang w:val="ro-RO" w:eastAsia="ro-RO"/>
              </w:rPr>
              <w:t>lit.d) trimite la art.20, care detaliază cerințele de reputație, cunoștințe, competențe, experiență și de disponibilitate de timp ale membrilor organului de conducere</w:t>
            </w:r>
            <w:r w:rsidR="007C2DEC">
              <w:rPr>
                <w:rFonts w:ascii="Times New Roman" w:hAnsi="Times New Roman" w:cs="Times New Roman"/>
                <w:bCs/>
                <w:sz w:val="20"/>
                <w:szCs w:val="20"/>
                <w:lang w:val="ro-RO" w:eastAsia="ro-RO"/>
              </w:rPr>
              <w:t>, iar</w:t>
            </w:r>
            <w:r w:rsidRPr="007C7A73">
              <w:rPr>
                <w:rFonts w:ascii="Times New Roman" w:hAnsi="Times New Roman" w:cs="Times New Roman"/>
                <w:bCs/>
                <w:sz w:val="20"/>
                <w:szCs w:val="20"/>
                <w:lang w:val="ro-RO" w:eastAsia="ro-RO"/>
              </w:rPr>
              <w:t xml:space="preserve"> lit.e) trimite la cerințele privind acționariatul prevăzute de prezenta lege (art.23-32) și de actele normative ale CNPF. </w:t>
            </w:r>
          </w:p>
          <w:p w14:paraId="6CBCBB05" w14:textId="77777777" w:rsidR="007C7A73" w:rsidRPr="007C7A73" w:rsidRDefault="007C7A73" w:rsidP="007C7A73">
            <w:pPr>
              <w:spacing w:after="0" w:line="240" w:lineRule="auto"/>
              <w:jc w:val="both"/>
              <w:rPr>
                <w:rFonts w:ascii="Times New Roman" w:hAnsi="Times New Roman" w:cs="Times New Roman"/>
                <w:bCs/>
                <w:sz w:val="20"/>
                <w:szCs w:val="20"/>
                <w:lang w:val="ro-RO" w:eastAsia="ro-RO"/>
              </w:rPr>
            </w:pPr>
          </w:p>
          <w:p w14:paraId="1F5FA9B3" w14:textId="77777777" w:rsidR="00E96FCA" w:rsidRPr="00E96FCA" w:rsidRDefault="00E96FCA" w:rsidP="00E96FCA">
            <w:pPr>
              <w:spacing w:after="0" w:line="240" w:lineRule="auto"/>
              <w:jc w:val="both"/>
              <w:rPr>
                <w:rFonts w:ascii="Times New Roman" w:hAnsi="Times New Roman" w:cs="Times New Roman"/>
                <w:bCs/>
                <w:sz w:val="20"/>
                <w:szCs w:val="20"/>
                <w:lang w:val="ro-RO" w:eastAsia="ro-RO"/>
              </w:rPr>
            </w:pPr>
            <w:r w:rsidRPr="00E96FCA">
              <w:rPr>
                <w:rFonts w:ascii="Times New Roman" w:hAnsi="Times New Roman" w:cs="Times New Roman"/>
                <w:bCs/>
                <w:sz w:val="20"/>
                <w:szCs w:val="20"/>
                <w:lang w:val="ro-RO" w:eastAsia="ro-RO"/>
              </w:rPr>
              <w:t xml:space="preserve">Utilizarea unui asemenea standard calitativ </w:t>
            </w:r>
            <w:r w:rsidR="00303F75">
              <w:rPr>
                <w:rFonts w:ascii="Times New Roman" w:hAnsi="Times New Roman" w:cs="Times New Roman"/>
                <w:bCs/>
                <w:sz w:val="20"/>
                <w:szCs w:val="20"/>
                <w:lang w:val="ro-RO" w:eastAsia="ro-RO"/>
              </w:rPr>
              <w:t xml:space="preserve">– </w:t>
            </w:r>
            <w:r w:rsidRPr="00E96FCA">
              <w:rPr>
                <w:rFonts w:ascii="Times New Roman" w:hAnsi="Times New Roman" w:cs="Times New Roman"/>
                <w:bCs/>
                <w:sz w:val="20"/>
                <w:szCs w:val="20"/>
                <w:lang w:val="ro-RO" w:eastAsia="ro-RO"/>
              </w:rPr>
              <w:t xml:space="preserve"> de „adecvare</w:t>
            </w:r>
            <w:r>
              <w:rPr>
                <w:rFonts w:ascii="Times New Roman" w:hAnsi="Times New Roman" w:cs="Times New Roman"/>
                <w:bCs/>
                <w:sz w:val="20"/>
                <w:szCs w:val="20"/>
                <w:lang w:val="ro-RO" w:eastAsia="ro-RO"/>
              </w:rPr>
              <w:t>”</w:t>
            </w:r>
            <w:r w:rsidRPr="00E96FCA">
              <w:rPr>
                <w:rFonts w:ascii="Times New Roman" w:hAnsi="Times New Roman" w:cs="Times New Roman"/>
                <w:bCs/>
                <w:sz w:val="20"/>
                <w:szCs w:val="20"/>
                <w:lang w:val="ro-RO" w:eastAsia="ro-RO"/>
              </w:rPr>
              <w:t xml:space="preserve"> nu este o imprecizie de redactare, ci o trăsătură deliberată și constantă a reglementării prudențiale a sectorului financiar în dreptul Uniunii Europene, justificată de specificul acestui domeniu. Autorizarea reprezintă o evaluare prospectivă și preventivă, prin care autoritatea trebuie să aprecieze aptitudinea persoanelor de a asigura, în viitor, administrarea corectă și prudentă a entității, protecția investitorilor și integritatea pieței </w:t>
            </w:r>
            <w:r w:rsidR="00303F75">
              <w:rPr>
                <w:rFonts w:ascii="Times New Roman" w:hAnsi="Times New Roman" w:cs="Times New Roman"/>
                <w:bCs/>
                <w:sz w:val="20"/>
                <w:szCs w:val="20"/>
                <w:lang w:val="ro-RO" w:eastAsia="ro-RO"/>
              </w:rPr>
              <w:t>-</w:t>
            </w:r>
            <w:r w:rsidRPr="00E96FCA">
              <w:rPr>
                <w:rFonts w:ascii="Times New Roman" w:hAnsi="Times New Roman" w:cs="Times New Roman"/>
                <w:bCs/>
                <w:sz w:val="20"/>
                <w:szCs w:val="20"/>
                <w:lang w:val="ro-RO" w:eastAsia="ro-RO"/>
              </w:rPr>
              <w:t xml:space="preserve"> interese publice care nu pot fi protejate eficient printr-o verificare mecanică. Factorii relevanți pentru reputație, integritate, </w:t>
            </w:r>
            <w:r w:rsidRPr="00E96FCA">
              <w:rPr>
                <w:rFonts w:ascii="Times New Roman" w:hAnsi="Times New Roman" w:cs="Times New Roman"/>
                <w:bCs/>
                <w:sz w:val="20"/>
                <w:szCs w:val="20"/>
                <w:lang w:val="ro-RO" w:eastAsia="ro-RO"/>
              </w:rPr>
              <w:lastRenderedPageBreak/>
              <w:t xml:space="preserve">competență și soliditate financiară sunt eterogeni și dependenți de context și nu pot fi reduși la o listă exhaustivă și rigidă, care ar fi, simultan, prea îngustă (ar permite accesul unor persoane neadecvate care nu încalcă un criteriu punctual) și prea largă (ar exclude persoane adecvate pentru neîndeplinirea unui element pur formal). Din acest motiv, actele Uniunii Europene </w:t>
            </w:r>
            <w:r w:rsidR="00303F75">
              <w:rPr>
                <w:rFonts w:ascii="Times New Roman" w:hAnsi="Times New Roman" w:cs="Times New Roman"/>
                <w:bCs/>
                <w:sz w:val="20"/>
                <w:szCs w:val="20"/>
                <w:lang w:val="ro-RO" w:eastAsia="ro-RO"/>
              </w:rPr>
              <w:t xml:space="preserve">– </w:t>
            </w:r>
            <w:r w:rsidRPr="00E96FCA">
              <w:rPr>
                <w:rFonts w:ascii="Times New Roman" w:hAnsi="Times New Roman" w:cs="Times New Roman"/>
                <w:bCs/>
                <w:sz w:val="20"/>
                <w:szCs w:val="20"/>
                <w:lang w:val="ro-RO" w:eastAsia="ro-RO"/>
              </w:rPr>
              <w:t xml:space="preserve"> atât Directiva 2014/65/UE, cât și Directiva 2013/36/UE </w:t>
            </w:r>
            <w:r w:rsidR="00303F75">
              <w:rPr>
                <w:rFonts w:ascii="Times New Roman" w:hAnsi="Times New Roman" w:cs="Times New Roman"/>
                <w:bCs/>
                <w:sz w:val="20"/>
                <w:szCs w:val="20"/>
                <w:lang w:val="ro-RO" w:eastAsia="ro-RO"/>
              </w:rPr>
              <w:t xml:space="preserve">– </w:t>
            </w:r>
            <w:r w:rsidRPr="00E96FCA">
              <w:rPr>
                <w:rFonts w:ascii="Times New Roman" w:hAnsi="Times New Roman" w:cs="Times New Roman"/>
                <w:bCs/>
                <w:sz w:val="20"/>
                <w:szCs w:val="20"/>
                <w:lang w:val="ro-RO" w:eastAsia="ro-RO"/>
              </w:rPr>
              <w:t xml:space="preserve"> impun o evaluare globală, proporțională cu natura, amploarea și complexitatea activității, conformă standardului internațional „fit and proper</w:t>
            </w:r>
            <w:r w:rsidR="00303F75">
              <w:rPr>
                <w:rFonts w:ascii="Times New Roman" w:hAnsi="Times New Roman" w:cs="Times New Roman"/>
                <w:bCs/>
                <w:sz w:val="20"/>
                <w:szCs w:val="20"/>
                <w:lang w:val="ro-RO" w:eastAsia="ro-RO"/>
              </w:rPr>
              <w:t>”</w:t>
            </w:r>
            <w:r w:rsidRPr="00E96FCA">
              <w:rPr>
                <w:rFonts w:ascii="Times New Roman" w:hAnsi="Times New Roman" w:cs="Times New Roman"/>
                <w:bCs/>
                <w:sz w:val="20"/>
                <w:szCs w:val="20"/>
                <w:lang w:val="ro-RO" w:eastAsia="ro-RO"/>
              </w:rPr>
              <w:t xml:space="preserve">, criteriile detaliate </w:t>
            </w:r>
            <w:r w:rsidR="00303F75">
              <w:rPr>
                <w:rFonts w:ascii="Times New Roman" w:hAnsi="Times New Roman" w:cs="Times New Roman"/>
                <w:bCs/>
                <w:sz w:val="20"/>
                <w:szCs w:val="20"/>
                <w:lang w:val="ro-RO" w:eastAsia="ro-RO"/>
              </w:rPr>
              <w:t xml:space="preserve">urmând a fi </w:t>
            </w:r>
            <w:r w:rsidRPr="00E96FCA">
              <w:rPr>
                <w:rFonts w:ascii="Times New Roman" w:hAnsi="Times New Roman" w:cs="Times New Roman"/>
                <w:bCs/>
                <w:sz w:val="20"/>
                <w:szCs w:val="20"/>
                <w:lang w:val="ro-RO" w:eastAsia="ro-RO"/>
              </w:rPr>
              <w:t xml:space="preserve">dezvoltate prin actele de nivel secundar </w:t>
            </w:r>
            <w:r w:rsidR="00303F75">
              <w:rPr>
                <w:rFonts w:ascii="Times New Roman" w:hAnsi="Times New Roman" w:cs="Times New Roman"/>
                <w:bCs/>
                <w:sz w:val="20"/>
                <w:szCs w:val="20"/>
                <w:lang w:val="ro-RO" w:eastAsia="ro-RO"/>
              </w:rPr>
              <w:t>ale CNPF.</w:t>
            </w:r>
          </w:p>
          <w:p w14:paraId="33FE0DAC" w14:textId="77777777" w:rsidR="00E96FCA" w:rsidRPr="00E96FCA" w:rsidRDefault="00E96FCA" w:rsidP="00E96FCA">
            <w:pPr>
              <w:spacing w:after="0" w:line="240" w:lineRule="auto"/>
              <w:jc w:val="both"/>
              <w:rPr>
                <w:rFonts w:ascii="Times New Roman" w:hAnsi="Times New Roman" w:cs="Times New Roman"/>
                <w:bCs/>
                <w:sz w:val="20"/>
                <w:szCs w:val="20"/>
                <w:lang w:val="ro-RO" w:eastAsia="ro-RO"/>
              </w:rPr>
            </w:pPr>
          </w:p>
          <w:p w14:paraId="345F4A90" w14:textId="77777777" w:rsidR="007C7A73" w:rsidRPr="007C7A73" w:rsidRDefault="00E96FCA" w:rsidP="00E96FCA">
            <w:pPr>
              <w:spacing w:after="0" w:line="240" w:lineRule="auto"/>
              <w:jc w:val="both"/>
              <w:rPr>
                <w:rFonts w:ascii="Times New Roman" w:hAnsi="Times New Roman" w:cs="Times New Roman"/>
                <w:bCs/>
                <w:sz w:val="20"/>
                <w:szCs w:val="20"/>
                <w:lang w:val="ro-RO" w:eastAsia="ro-RO"/>
              </w:rPr>
            </w:pPr>
            <w:r w:rsidRPr="00E96FCA">
              <w:rPr>
                <w:rFonts w:ascii="Times New Roman" w:hAnsi="Times New Roman" w:cs="Times New Roman"/>
                <w:bCs/>
                <w:sz w:val="20"/>
                <w:szCs w:val="20"/>
                <w:lang w:val="ro-RO" w:eastAsia="ro-RO"/>
              </w:rPr>
              <w:t>Aceeași tehnică de reglementare este deja consacrată în legislația financiară națională în vigoare</w:t>
            </w:r>
            <w:r w:rsidR="007152A4">
              <w:rPr>
                <w:rFonts w:ascii="Times New Roman" w:hAnsi="Times New Roman" w:cs="Times New Roman"/>
                <w:bCs/>
                <w:sz w:val="20"/>
                <w:szCs w:val="20"/>
                <w:lang w:val="ro-RO" w:eastAsia="ro-RO"/>
              </w:rPr>
              <w:t xml:space="preserve">: de exemplu, </w:t>
            </w:r>
            <w:r w:rsidRPr="00E96FCA">
              <w:rPr>
                <w:rFonts w:ascii="Times New Roman" w:hAnsi="Times New Roman" w:cs="Times New Roman"/>
                <w:bCs/>
                <w:sz w:val="20"/>
                <w:szCs w:val="20"/>
                <w:lang w:val="ro-RO" w:eastAsia="ro-RO"/>
              </w:rPr>
              <w:t>Legea nr.202/2017 privind activitatea băncilor (care transpune Directiva 2013/36/UE)</w:t>
            </w:r>
            <w:r w:rsidR="007152A4">
              <w:rPr>
                <w:rFonts w:ascii="Times New Roman" w:hAnsi="Times New Roman" w:cs="Times New Roman"/>
                <w:bCs/>
                <w:sz w:val="20"/>
                <w:szCs w:val="20"/>
                <w:lang w:val="ro-RO" w:eastAsia="ro-RO"/>
              </w:rPr>
              <w:t xml:space="preserve">, în art.19 alin.(1) lit.)-f) </w:t>
            </w:r>
            <w:r w:rsidRPr="00E96FCA">
              <w:rPr>
                <w:rFonts w:ascii="Times New Roman" w:hAnsi="Times New Roman" w:cs="Times New Roman"/>
                <w:bCs/>
                <w:sz w:val="20"/>
                <w:szCs w:val="20"/>
                <w:lang w:val="ro-RO" w:eastAsia="ro-RO"/>
              </w:rPr>
              <w:t xml:space="preserve">utilizează același standard de evaluare a adecvării organului de conducere și a deținătorilor de </w:t>
            </w:r>
            <w:r w:rsidR="007152A4">
              <w:rPr>
                <w:rFonts w:ascii="Times New Roman" w:hAnsi="Times New Roman" w:cs="Times New Roman"/>
                <w:bCs/>
                <w:sz w:val="20"/>
                <w:szCs w:val="20"/>
                <w:lang w:val="ro-RO" w:eastAsia="ro-RO"/>
              </w:rPr>
              <w:t>acțiuni</w:t>
            </w:r>
            <w:r w:rsidRPr="00E96FCA">
              <w:rPr>
                <w:rFonts w:ascii="Times New Roman" w:hAnsi="Times New Roman" w:cs="Times New Roman"/>
                <w:bCs/>
                <w:sz w:val="20"/>
                <w:szCs w:val="20"/>
                <w:lang w:val="ro-RO" w:eastAsia="ro-RO"/>
              </w:rPr>
              <w:t xml:space="preserve">. </w:t>
            </w:r>
          </w:p>
        </w:tc>
      </w:tr>
      <w:tr w:rsidR="007B175E" w:rsidRPr="009B7C97" w14:paraId="6C7C009F"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17995" w14:textId="77777777" w:rsidR="007152A4" w:rsidRPr="007152A4" w:rsidRDefault="007152A4" w:rsidP="007152A4">
            <w:pPr>
              <w:spacing w:after="0" w:line="240" w:lineRule="auto"/>
              <w:jc w:val="both"/>
              <w:rPr>
                <w:rFonts w:ascii="Times New Roman" w:hAnsi="Times New Roman" w:cs="Times New Roman"/>
                <w:b/>
                <w:iCs/>
                <w:sz w:val="20"/>
                <w:szCs w:val="20"/>
                <w:lang w:val="ro-RO" w:eastAsia="ro-RO"/>
              </w:rPr>
            </w:pPr>
            <w:bookmarkStart w:id="7" w:name="_Toc223708607"/>
            <w:r w:rsidRPr="007152A4">
              <w:rPr>
                <w:rFonts w:ascii="Times New Roman" w:hAnsi="Times New Roman" w:cs="Times New Roman"/>
                <w:b/>
                <w:iCs/>
                <w:sz w:val="20"/>
                <w:szCs w:val="20"/>
                <w:lang w:val="ro-RO" w:eastAsia="ro-RO"/>
              </w:rPr>
              <w:lastRenderedPageBreak/>
              <w:t>Articolul 16. Retragerea autorizației</w:t>
            </w:r>
            <w:bookmarkEnd w:id="7"/>
          </w:p>
          <w:p w14:paraId="53821A46" w14:textId="77777777" w:rsidR="007152A4" w:rsidRPr="007152A4" w:rsidRDefault="007152A4" w:rsidP="007B175E">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w:t>
            </w:r>
          </w:p>
          <w:p w14:paraId="4136E4C5" w14:textId="77777777" w:rsidR="007B175E" w:rsidRPr="007152A4" w:rsidRDefault="007152A4" w:rsidP="007B175E">
            <w:pPr>
              <w:spacing w:after="0" w:line="240" w:lineRule="auto"/>
              <w:jc w:val="both"/>
              <w:rPr>
                <w:rFonts w:ascii="Times New Roman" w:hAnsi="Times New Roman" w:cs="Times New Roman"/>
                <w:bCs/>
                <w:sz w:val="20"/>
                <w:szCs w:val="20"/>
                <w:lang w:val="ro-RO" w:eastAsia="ro-RO"/>
              </w:rPr>
            </w:pPr>
            <w:r w:rsidRPr="007152A4">
              <w:rPr>
                <w:rFonts w:ascii="Times New Roman" w:hAnsi="Times New Roman" w:cs="Times New Roman"/>
                <w:bCs/>
                <w:sz w:val="20"/>
                <w:szCs w:val="20"/>
                <w:lang w:val="ro-RO" w:eastAsia="ro-RO"/>
              </w:rPr>
              <w:t>(11) CNPF retrage autorizația firmei de investiții în cazul în care constată existența unuia dintre temeiurile de insolvabilitate prevăzute de lege.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1F31E46" w14:textId="77777777" w:rsidR="007B175E" w:rsidRDefault="005313AD"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16DD52ED" w14:textId="77777777" w:rsidR="00263797" w:rsidRPr="0030706D"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3C30C5D"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12</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E2374" w14:textId="77777777" w:rsidR="007B175E" w:rsidRPr="00FE4D41" w:rsidRDefault="007B175E" w:rsidP="007B175E">
            <w:pPr>
              <w:spacing w:after="0" w:line="240" w:lineRule="auto"/>
              <w:jc w:val="both"/>
              <w:rPr>
                <w:rFonts w:ascii="Times New Roman" w:hAnsi="Times New Roman" w:cs="Times New Roman"/>
                <w:sz w:val="20"/>
                <w:szCs w:val="20"/>
                <w:lang w:eastAsia="ro-RO"/>
              </w:rPr>
            </w:pPr>
            <w:r w:rsidRPr="00FE4D41">
              <w:rPr>
                <w:rFonts w:ascii="Times New Roman" w:hAnsi="Times New Roman" w:cs="Times New Roman"/>
                <w:sz w:val="20"/>
                <w:szCs w:val="20"/>
                <w:lang w:eastAsia="ro-RO"/>
              </w:rPr>
              <w:t>Prevederea art.16 alin.(11) necesită clarificare, întrucât stabilește că CNPF retrage autorizația firmei de investiții „în cazul în care constată existența unuia dintre temeiurile de insolvabilitate prevăzute la art.10 din Legea insolvabilității nr.149/2-12 (incapacitatea de plată și supraîndatorarea), la intentarea procesului de insolvabilitate prin hotărâre judecătorească sau la constatarea stării de insolvabilitate în cadrul procedurii judiciare. De asemenea, norma nu permite determinarea raportului dintre competența CNPF de a constata existența acestor circumstanțe.</w:t>
            </w:r>
          </w:p>
          <w:p w14:paraId="1562E08D" w14:textId="77777777" w:rsidR="007B175E" w:rsidRPr="00FE4D41" w:rsidRDefault="007B175E" w:rsidP="007B175E">
            <w:pPr>
              <w:spacing w:after="0" w:line="240" w:lineRule="auto"/>
              <w:jc w:val="both"/>
              <w:rPr>
                <w:rFonts w:ascii="Times New Roman" w:hAnsi="Times New Roman" w:cs="Times New Roman"/>
                <w:sz w:val="20"/>
                <w:szCs w:val="20"/>
                <w:lang w:val="ro-RO" w:eastAsia="ro-RO"/>
              </w:rPr>
            </w:pPr>
            <w:r w:rsidRPr="00FE4D41">
              <w:rPr>
                <w:rFonts w:ascii="Times New Roman" w:hAnsi="Times New Roman" w:cs="Times New Roman"/>
                <w:sz w:val="20"/>
                <w:szCs w:val="20"/>
                <w:lang w:eastAsia="ro-RO"/>
              </w:rPr>
              <w:t xml:space="preserve">În redarea actuală, dispoziția este susceptibilă de interpretări divergente și nu întrunește exigențele de claritate și previzibilitate </w:t>
            </w:r>
            <w:r w:rsidRPr="00FE4D41">
              <w:rPr>
                <w:rFonts w:ascii="Times New Roman" w:hAnsi="Times New Roman" w:cs="Times New Roman"/>
                <w:sz w:val="20"/>
                <w:szCs w:val="20"/>
                <w:lang w:eastAsia="ro-RO"/>
              </w:rPr>
              <w:lastRenderedPageBreak/>
              <w:t>ale normei juridice. Astfel, considerăm necesară precizarea expresă a situației juridice care constituie temei pentru retragerea autorizației și, după caz, indicarea expresă a dispozițiilor relevante din Legea insolvabilității nr.149/2012.</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4D38AC" w14:textId="77777777" w:rsidR="003A370A" w:rsidRPr="00FE4D41" w:rsidRDefault="003A370A" w:rsidP="007B175E">
            <w:pPr>
              <w:spacing w:after="0" w:line="240" w:lineRule="auto"/>
              <w:jc w:val="both"/>
              <w:rPr>
                <w:rFonts w:ascii="Times New Roman" w:hAnsi="Times New Roman" w:cs="Times New Roman"/>
                <w:b/>
                <w:sz w:val="20"/>
                <w:szCs w:val="20"/>
                <w:lang w:val="ro-RO" w:eastAsia="ro-RO"/>
              </w:rPr>
            </w:pPr>
            <w:r w:rsidRPr="00FE4D41">
              <w:rPr>
                <w:rFonts w:ascii="Times New Roman" w:hAnsi="Times New Roman" w:cs="Times New Roman"/>
                <w:b/>
                <w:sz w:val="20"/>
                <w:szCs w:val="20"/>
                <w:lang w:val="ro-RO" w:eastAsia="ro-RO"/>
              </w:rPr>
              <w:lastRenderedPageBreak/>
              <w:t>Se acceptă.</w:t>
            </w:r>
          </w:p>
          <w:p w14:paraId="6683E1D8" w14:textId="77777777" w:rsidR="003A370A" w:rsidRPr="00FE4D41" w:rsidRDefault="003A370A" w:rsidP="007B175E">
            <w:pPr>
              <w:spacing w:after="0" w:line="240" w:lineRule="auto"/>
              <w:jc w:val="both"/>
              <w:rPr>
                <w:rFonts w:ascii="Times New Roman" w:hAnsi="Times New Roman" w:cs="Times New Roman"/>
                <w:bCs/>
                <w:sz w:val="20"/>
                <w:szCs w:val="20"/>
                <w:lang w:val="ro-RO" w:eastAsia="ro-RO"/>
              </w:rPr>
            </w:pPr>
            <w:r w:rsidRPr="00FE4D41">
              <w:rPr>
                <w:rFonts w:ascii="Times New Roman" w:hAnsi="Times New Roman" w:cs="Times New Roman"/>
                <w:bCs/>
                <w:sz w:val="20"/>
                <w:szCs w:val="20"/>
                <w:lang w:val="ro-RO" w:eastAsia="ro-RO"/>
              </w:rPr>
              <w:t>Au fost operate modificări la art.16 cu excluderea alin.(11)</w:t>
            </w:r>
            <w:r w:rsidR="007152A4" w:rsidRPr="00FE4D41">
              <w:rPr>
                <w:rFonts w:ascii="Times New Roman" w:hAnsi="Times New Roman" w:cs="Times New Roman"/>
                <w:bCs/>
                <w:sz w:val="20"/>
                <w:szCs w:val="20"/>
                <w:lang w:val="ro-RO" w:eastAsia="ro-RO"/>
              </w:rPr>
              <w:t>, inclusiv ținând cont de prevederile art.</w:t>
            </w:r>
            <w:r w:rsidR="00FE4D41" w:rsidRPr="00FE4D41">
              <w:rPr>
                <w:rFonts w:ascii="Times New Roman" w:hAnsi="Times New Roman" w:cs="Times New Roman"/>
                <w:bCs/>
                <w:sz w:val="20"/>
                <w:szCs w:val="20"/>
                <w:lang w:val="ro-RO" w:eastAsia="ro-RO"/>
              </w:rPr>
              <w:t>16 alin.(1) lit.k) din proiect.</w:t>
            </w:r>
          </w:p>
        </w:tc>
      </w:tr>
      <w:tr w:rsidR="00B904AA" w:rsidRPr="009B7C97" w14:paraId="2F1C9DF3"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0B5D7" w14:textId="77777777" w:rsidR="00B904AA" w:rsidRPr="00C02ABC" w:rsidRDefault="00B904AA" w:rsidP="00B904AA">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 xml:space="preserve">Articolul 21. </w:t>
            </w:r>
            <w:r w:rsidR="00C02ABC" w:rsidRPr="00C02ABC">
              <w:rPr>
                <w:rFonts w:ascii="Times New Roman" w:hAnsi="Times New Roman" w:cs="Times New Roman"/>
                <w:b/>
                <w:sz w:val="20"/>
                <w:szCs w:val="20"/>
                <w:lang w:val="ro-RO" w:eastAsia="ro-RO"/>
              </w:rPr>
              <w:t>Persoanele care deţin funcţii-cheie</w:t>
            </w:r>
          </w:p>
          <w:p w14:paraId="23BCF078" w14:textId="77777777" w:rsidR="00B904AA" w:rsidRDefault="00B904AA" w:rsidP="00B904AA">
            <w:pPr>
              <w:spacing w:after="0" w:line="240" w:lineRule="auto"/>
              <w:jc w:val="both"/>
            </w:pPr>
            <w:r>
              <w:rPr>
                <w:rFonts w:ascii="Times New Roman" w:hAnsi="Times New Roman" w:cs="Times New Roman"/>
                <w:sz w:val="20"/>
                <w:szCs w:val="20"/>
                <w:lang w:val="ro-RO" w:eastAsia="ro-RO"/>
              </w:rPr>
              <w:t>(2) După caz și în funcție de natura, dimensiunea și complexitatea activităților pe care le desfășoară, precum și de natura și gama serviciilor și a activităților de investiții întreprinse, firma de investiții instituie și menține o funcție de gestionare a riscurilor, independentă de funcțiile și activitățile pe care le monitorizează, responsabilă pentru identificarea, gestionarea și monitorizarea riscurilor aferente activităților firmei de investiții și căreia îi revin următoarele responsabilități: a) punerea în aplicare a politicii și a procedurilor menționate la art. 37 alin. (1); b) furnizarea de rapoarte și de consultanță cadrelor de conducere în conformitate cu art. 35 alin. (8).</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61ECB5" w14:textId="77777777" w:rsidR="00B904AA" w:rsidRDefault="00B904AA" w:rsidP="00B904AA">
            <w:pPr>
              <w:spacing w:after="0" w:line="240" w:lineRule="auto"/>
              <w:rPr>
                <w:rFonts w:ascii="Times New Roman" w:eastAsia="Times New Roman" w:hAnsi="Times New Roman" w:cs="Times New Roman"/>
                <w:b/>
                <w:bCs/>
                <w:sz w:val="20"/>
                <w:szCs w:val="20"/>
                <w:lang w:eastAsia="ro-RO"/>
              </w:rPr>
            </w:pPr>
            <w:r w:rsidRPr="0030706D">
              <w:rPr>
                <w:rFonts w:ascii="Times New Roman" w:eastAsia="Times New Roman" w:hAnsi="Times New Roman" w:cs="Times New Roman"/>
                <w:b/>
                <w:bCs/>
                <w:sz w:val="20"/>
                <w:szCs w:val="20"/>
                <w:lang w:eastAsia="ro-RO"/>
              </w:rPr>
              <w:t>Centrul de Armonizare a</w:t>
            </w:r>
            <w:r>
              <w:rPr>
                <w:rFonts w:ascii="Times New Roman" w:eastAsia="Times New Roman" w:hAnsi="Times New Roman" w:cs="Times New Roman"/>
                <w:b/>
                <w:bCs/>
                <w:sz w:val="20"/>
                <w:szCs w:val="20"/>
                <w:lang w:eastAsia="ro-RO"/>
              </w:rPr>
              <w:t xml:space="preserve"> </w:t>
            </w:r>
            <w:r w:rsidRPr="0030706D">
              <w:rPr>
                <w:rFonts w:ascii="Times New Roman" w:eastAsia="Times New Roman" w:hAnsi="Times New Roman" w:cs="Times New Roman"/>
                <w:b/>
                <w:bCs/>
                <w:sz w:val="20"/>
                <w:szCs w:val="20"/>
                <w:lang w:eastAsia="ro-RO"/>
              </w:rPr>
              <w:t>Legislației</w:t>
            </w:r>
          </w:p>
          <w:p w14:paraId="21C2AFAD" w14:textId="77777777" w:rsidR="00263797" w:rsidRPr="00984273" w:rsidRDefault="00263797" w:rsidP="0026379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nr.31/02-</w:t>
            </w:r>
          </w:p>
          <w:p w14:paraId="44DA441B" w14:textId="77777777" w:rsidR="00263797" w:rsidRDefault="00263797" w:rsidP="00263797">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126-5541 din 15.05.2026)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473ABDC" w14:textId="77777777" w:rsidR="00B904AA" w:rsidRPr="00C936B6"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13</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94C78C" w14:textId="77777777" w:rsidR="00B904AA" w:rsidRDefault="00B904AA" w:rsidP="00B904AA">
            <w:pPr>
              <w:spacing w:after="0" w:line="240" w:lineRule="auto"/>
              <w:jc w:val="both"/>
            </w:pPr>
            <w:r>
              <w:rPr>
                <w:rFonts w:ascii="Times New Roman" w:hAnsi="Times New Roman" w:cs="Times New Roman"/>
                <w:sz w:val="20"/>
                <w:szCs w:val="20"/>
                <w:lang w:val="ro-RO" w:eastAsia="ro-RO"/>
              </w:rPr>
              <w:t>Art. 21 alin. (2) din proiect reglementează instituirea funcției de gestionare a riscurilor și stabilește atribuțiile acesteia, inclusiv furnizarea de rapoarte și consultanță cadrelor de conducere. Cu toate acestea, prevederea nu consacră expres dreptul și obligația funcției de gestionare a riscurilor de a raporta direct consiliului firmei de investiții și de a avea acces direct la acesta, inclusiv în cazul riscurilor semnificative sau al deficiențelor de control intern. Transpunerea este incompletă în raport cu principiile de guvernanță prevăzute de art. 9 din Directiva 2014/65/UE, care impun independența funcției de risc și posibilitatea raportării directe către organul de supraveghere al firmei de investiții.</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841A4" w14:textId="77777777" w:rsidR="00B904AA" w:rsidRPr="00246A9C" w:rsidRDefault="00B904AA" w:rsidP="00B904AA">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 xml:space="preserve">Se </w:t>
            </w:r>
            <w:r w:rsidRPr="00246A9C">
              <w:rPr>
                <w:rFonts w:ascii="Times New Roman" w:hAnsi="Times New Roman" w:cs="Times New Roman"/>
                <w:b/>
                <w:sz w:val="20"/>
                <w:szCs w:val="20"/>
                <w:lang w:val="ro-RO" w:eastAsia="ro-RO"/>
              </w:rPr>
              <w:t xml:space="preserve">acceptă. </w:t>
            </w:r>
          </w:p>
          <w:p w14:paraId="49BB0D1D" w14:textId="77777777" w:rsidR="00B904AA" w:rsidRPr="00246A9C" w:rsidRDefault="00B904AA" w:rsidP="00B904AA">
            <w:pPr>
              <w:spacing w:after="0" w:line="240" w:lineRule="auto"/>
              <w:jc w:val="both"/>
              <w:rPr>
                <w:rFonts w:ascii="Times New Roman" w:hAnsi="Times New Roman" w:cs="Times New Roman"/>
                <w:sz w:val="20"/>
                <w:szCs w:val="20"/>
                <w:lang w:val="ro-RO" w:eastAsia="ro-RO"/>
              </w:rPr>
            </w:pPr>
            <w:r w:rsidRPr="00246A9C">
              <w:rPr>
                <w:rFonts w:ascii="Times New Roman" w:hAnsi="Times New Roman" w:cs="Times New Roman"/>
                <w:sz w:val="20"/>
                <w:szCs w:val="20"/>
                <w:lang w:val="ro-RO" w:eastAsia="ro-RO"/>
              </w:rPr>
              <w:t>Art. 35 alin. (8) din proiect a fost completat, în vederea transpunerii fidele a art.25 alin.(3) din Regulamentul delegat (UE) 2017/565:</w:t>
            </w:r>
          </w:p>
          <w:p w14:paraId="27F2F7E4" w14:textId="77777777" w:rsidR="00B904AA" w:rsidRPr="00246A9C" w:rsidRDefault="00B904AA" w:rsidP="00B904AA">
            <w:pPr>
              <w:spacing w:after="0" w:line="240" w:lineRule="auto"/>
              <w:jc w:val="both"/>
              <w:rPr>
                <w:rFonts w:ascii="Times New Roman" w:hAnsi="Times New Roman" w:cs="Times New Roman"/>
              </w:rPr>
            </w:pPr>
            <w:r>
              <w:rPr>
                <w:rFonts w:ascii="Times New Roman" w:hAnsi="Times New Roman" w:cs="Times New Roman"/>
                <w:sz w:val="20"/>
                <w:szCs w:val="20"/>
              </w:rPr>
              <w:t>„</w:t>
            </w:r>
            <w:r w:rsidRPr="00246A9C">
              <w:rPr>
                <w:rFonts w:ascii="Times New Roman" w:hAnsi="Times New Roman" w:cs="Times New Roman"/>
                <w:sz w:val="20"/>
                <w:szCs w:val="20"/>
              </w:rPr>
              <w:t xml:space="preserve">(8) Organul executiv şi consiliul firmei de investiții trebuie să evalueze şi să verifice periodic eficienţa politicilor, dispoziţiilor şi procedurilor puse în aplicare şi să adopte măsurile adecvate pentru remedierea eventualelor deficienţe. Această evaluare şi/sau verificare se va efectua în temeiul rapoartelor scrise prezentate de către persoanele responsabile cel puţin o dată pe an. </w:t>
            </w:r>
            <w:r w:rsidRPr="00246A9C">
              <w:rPr>
                <w:rFonts w:ascii="Times New Roman" w:hAnsi="Times New Roman" w:cs="Times New Roman"/>
                <w:b/>
                <w:bCs/>
                <w:sz w:val="20"/>
                <w:szCs w:val="20"/>
              </w:rPr>
              <w:t>Firma de investiții se asigură că persoanele care dețin funcții-cheie raportează direct consiliului societății, care primește, în mod regulat, rapoarte scrise privind aspectele prevăzute la art.21 alin.(1)-(3).</w:t>
            </w:r>
            <w:r>
              <w:rPr>
                <w:rFonts w:ascii="Times New Roman" w:hAnsi="Times New Roman" w:cs="Times New Roman"/>
                <w:sz w:val="20"/>
                <w:szCs w:val="20"/>
              </w:rPr>
              <w:t>”</w:t>
            </w:r>
          </w:p>
        </w:tc>
      </w:tr>
      <w:tr w:rsidR="00B904AA" w:rsidRPr="009B7C97" w14:paraId="7B598268" w14:textId="77777777" w:rsidTr="006777DA">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44EFD" w14:textId="77777777" w:rsidR="00B904AA" w:rsidRPr="006A212E" w:rsidRDefault="00B904AA" w:rsidP="00B904AA">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Articolul 22. Comitete specializate</w:t>
            </w:r>
            <w:r w:rsidR="006A212E">
              <w:rPr>
                <w:rFonts w:ascii="Times New Roman" w:hAnsi="Times New Roman" w:cs="Times New Roman"/>
                <w:b/>
                <w:sz w:val="20"/>
                <w:szCs w:val="20"/>
                <w:lang w:val="ro-RO" w:eastAsia="ro-RO"/>
              </w:rPr>
              <w:t xml:space="preserve"> </w:t>
            </w:r>
            <w:r w:rsidR="006A212E" w:rsidRPr="006A212E">
              <w:rPr>
                <w:rFonts w:ascii="Times New Roman" w:hAnsi="Times New Roman" w:cs="Times New Roman"/>
                <w:b/>
                <w:sz w:val="20"/>
                <w:szCs w:val="20"/>
                <w:lang w:val="ro-RO" w:eastAsia="ro-RO"/>
              </w:rPr>
              <w:t>ale consiliului firmei de investiții</w:t>
            </w:r>
          </w:p>
          <w:p w14:paraId="0CB72657" w14:textId="77777777" w:rsidR="00B904AA" w:rsidRDefault="00B904AA" w:rsidP="00B904AA">
            <w:pPr>
              <w:spacing w:after="0" w:line="240" w:lineRule="auto"/>
              <w:jc w:val="both"/>
            </w:pPr>
            <w:r>
              <w:rPr>
                <w:rFonts w:ascii="Times New Roman" w:hAnsi="Times New Roman" w:cs="Times New Roman"/>
                <w:sz w:val="20"/>
                <w:szCs w:val="20"/>
                <w:lang w:val="ro-RO" w:eastAsia="ro-RO"/>
              </w:rPr>
              <w:t>(3) Firmele de investiții care sunt semnificative din punctul de vedere al mărimii și organizării interne, precum și al naturii, extinderii și complexității activității lor trebuie să înființeze și să dispună de un comitet de nominalizare.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696C5" w14:textId="77777777" w:rsidR="00B904AA" w:rsidRDefault="00B904AA" w:rsidP="00B904AA">
            <w:pPr>
              <w:spacing w:after="0" w:line="240" w:lineRule="auto"/>
              <w:rPr>
                <w:rFonts w:ascii="Times New Roman" w:eastAsia="Times New Roman" w:hAnsi="Times New Roman" w:cs="Times New Roman"/>
                <w:b/>
                <w:bCs/>
                <w:sz w:val="20"/>
                <w:szCs w:val="20"/>
                <w:lang w:eastAsia="ro-RO"/>
              </w:rPr>
            </w:pPr>
            <w:r w:rsidRPr="0030706D">
              <w:rPr>
                <w:rFonts w:ascii="Times New Roman" w:eastAsia="Times New Roman" w:hAnsi="Times New Roman" w:cs="Times New Roman"/>
                <w:b/>
                <w:bCs/>
                <w:sz w:val="20"/>
                <w:szCs w:val="20"/>
                <w:lang w:eastAsia="ro-RO"/>
              </w:rPr>
              <w:t>Centrul de Armonizare a</w:t>
            </w:r>
            <w:r>
              <w:rPr>
                <w:rFonts w:ascii="Times New Roman" w:eastAsia="Times New Roman" w:hAnsi="Times New Roman" w:cs="Times New Roman"/>
                <w:b/>
                <w:bCs/>
                <w:sz w:val="20"/>
                <w:szCs w:val="20"/>
                <w:lang w:eastAsia="ro-RO"/>
              </w:rPr>
              <w:t xml:space="preserve"> </w:t>
            </w:r>
            <w:r w:rsidRPr="0030706D">
              <w:rPr>
                <w:rFonts w:ascii="Times New Roman" w:eastAsia="Times New Roman" w:hAnsi="Times New Roman" w:cs="Times New Roman"/>
                <w:b/>
                <w:bCs/>
                <w:sz w:val="20"/>
                <w:szCs w:val="20"/>
                <w:lang w:eastAsia="ro-RO"/>
              </w:rPr>
              <w:t>Legislației</w:t>
            </w:r>
          </w:p>
          <w:p w14:paraId="5412E220" w14:textId="77777777" w:rsidR="00263797" w:rsidRPr="00984273" w:rsidRDefault="00263797" w:rsidP="0026379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nr.31/02-</w:t>
            </w:r>
          </w:p>
          <w:p w14:paraId="7379C84E" w14:textId="77777777" w:rsidR="00263797" w:rsidRDefault="00263797" w:rsidP="00263797">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126-5541 din 15.05.2026)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63AA5" w14:textId="77777777" w:rsidR="00B904AA" w:rsidRPr="00C936B6" w:rsidRDefault="005313AD" w:rsidP="00B904AA">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14</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048B67" w14:textId="77777777" w:rsidR="00B904AA" w:rsidRDefault="00B904AA" w:rsidP="00B904AA">
            <w:pPr>
              <w:spacing w:after="0" w:line="240" w:lineRule="auto"/>
              <w:jc w:val="both"/>
            </w:pPr>
            <w:r>
              <w:rPr>
                <w:rFonts w:ascii="Times New Roman" w:hAnsi="Times New Roman" w:cs="Times New Roman"/>
                <w:sz w:val="20"/>
                <w:szCs w:val="20"/>
                <w:lang w:val="ro-RO" w:eastAsia="ro-RO"/>
              </w:rPr>
              <w:t>Art. 22 din proiect reglementează instituirea comitetelor specializate și prevede obligativitatea constituirii unui comitet de nominalizare pentru firmele de investiții semnificative. Totuși, nu este prevăzută expres obligația instituirii unui comitet de remunerare pentru firmele de investiții considerate semnificative din punctul de vedere al dimensiunii, organizării interne și complexității activității. Nu este transpusă cerința derivată din art. 9 alin. (1) din Directiva 2014/65/UE, care impune existența unui comitet de remunerare pentru entitățile semnificative în vederea supravegherii politicilor și practicilor de remunerare.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64E8DA" w14:textId="77777777" w:rsidR="00B904AA" w:rsidRDefault="00B904AA" w:rsidP="00B904AA">
            <w:pPr>
              <w:spacing w:after="0" w:line="240" w:lineRule="auto"/>
              <w:jc w:val="both"/>
              <w:rPr>
                <w:rFonts w:ascii="Times New Roman" w:hAnsi="Times New Roman" w:cs="Times New Roman"/>
                <w:sz w:val="20"/>
                <w:szCs w:val="20"/>
                <w:lang w:val="ro-RO" w:eastAsia="ro-RO"/>
              </w:rPr>
            </w:pPr>
            <w:r>
              <w:rPr>
                <w:rFonts w:ascii="Times New Roman" w:hAnsi="Times New Roman" w:cs="Times New Roman"/>
                <w:b/>
                <w:sz w:val="20"/>
                <w:szCs w:val="20"/>
                <w:lang w:val="ro-RO" w:eastAsia="ro-RO"/>
              </w:rPr>
              <w:t xml:space="preserve">Nu se acceptă. </w:t>
            </w:r>
          </w:p>
          <w:p w14:paraId="4345C564" w14:textId="77777777" w:rsidR="00B904AA" w:rsidRPr="008E51C3" w:rsidRDefault="00B904AA" w:rsidP="00B904AA">
            <w:pPr>
              <w:spacing w:after="0" w:line="240" w:lineRule="auto"/>
              <w:jc w:val="both"/>
              <w:rPr>
                <w:rFonts w:ascii="Times New Roman" w:hAnsi="Times New Roman" w:cs="Times New Roman"/>
                <w:sz w:val="20"/>
                <w:szCs w:val="20"/>
                <w:lang w:val="ro-RO" w:eastAsia="ro-RO"/>
              </w:rPr>
            </w:pPr>
            <w:r w:rsidRPr="008E51C3">
              <w:rPr>
                <w:rFonts w:ascii="Times New Roman" w:hAnsi="Times New Roman" w:cs="Times New Roman"/>
                <w:sz w:val="20"/>
                <w:szCs w:val="20"/>
                <w:lang w:val="ro-RO" w:eastAsia="ro-RO"/>
              </w:rPr>
              <w:t>Art. 9 alin. (1) din Directiva 2014/65/UE reglementează atribuțiile generale de guvernanță ale organului de conducere și nu impune instituirea unui comitet de remunerare.</w:t>
            </w:r>
          </w:p>
          <w:p w14:paraId="66B27121" w14:textId="77777777" w:rsidR="00B904AA" w:rsidRPr="008E51C3" w:rsidRDefault="00B904AA" w:rsidP="00B904AA">
            <w:pPr>
              <w:spacing w:after="0" w:line="240" w:lineRule="auto"/>
              <w:jc w:val="both"/>
              <w:rPr>
                <w:rFonts w:ascii="Times New Roman" w:hAnsi="Times New Roman" w:cs="Times New Roman"/>
                <w:sz w:val="20"/>
                <w:szCs w:val="20"/>
                <w:lang w:val="ro-RO" w:eastAsia="ro-RO"/>
              </w:rPr>
            </w:pPr>
            <w:r w:rsidRPr="008E51C3">
              <w:rPr>
                <w:rFonts w:ascii="Times New Roman" w:hAnsi="Times New Roman" w:cs="Times New Roman"/>
                <w:sz w:val="20"/>
                <w:szCs w:val="20"/>
                <w:lang w:val="ro-RO" w:eastAsia="ro-RO"/>
              </w:rPr>
              <w:t>Cerința comitetului de remunerare pentru firmele de investiții este reglementată prin:</w:t>
            </w:r>
          </w:p>
          <w:p w14:paraId="66AAFD17" w14:textId="77777777" w:rsidR="00B904AA" w:rsidRPr="008E51C3" w:rsidRDefault="00B904AA" w:rsidP="00B904AA">
            <w:pPr>
              <w:spacing w:after="0" w:line="240" w:lineRule="auto"/>
              <w:jc w:val="both"/>
              <w:rPr>
                <w:rFonts w:ascii="Times New Roman" w:hAnsi="Times New Roman" w:cs="Times New Roman"/>
                <w:sz w:val="20"/>
                <w:szCs w:val="20"/>
                <w:lang w:val="ro-RO" w:eastAsia="ro-RO"/>
              </w:rPr>
            </w:pPr>
            <w:r w:rsidRPr="008E51C3">
              <w:rPr>
                <w:rFonts w:ascii="Times New Roman" w:hAnsi="Times New Roman" w:cs="Times New Roman"/>
                <w:sz w:val="20"/>
                <w:szCs w:val="20"/>
                <w:lang w:val="ro-RO" w:eastAsia="ro-RO"/>
              </w:rPr>
              <w:t>(a) art. 95 din Directiva 2013/36/UE — pentru firmele de investiții reclasificate ca instituții de credit sau care rămân supuse regimului prevăzut de această directivă;</w:t>
            </w:r>
          </w:p>
          <w:p w14:paraId="48BC5018" w14:textId="77777777" w:rsidR="00B904AA" w:rsidRPr="00F72A5F" w:rsidRDefault="00B904AA" w:rsidP="00B904AA">
            <w:pPr>
              <w:spacing w:after="0" w:line="240" w:lineRule="auto"/>
              <w:jc w:val="both"/>
              <w:rPr>
                <w:rFonts w:ascii="Times New Roman" w:hAnsi="Times New Roman" w:cs="Times New Roman"/>
              </w:rPr>
            </w:pPr>
            <w:r w:rsidRPr="008E51C3">
              <w:rPr>
                <w:rFonts w:ascii="Times New Roman" w:hAnsi="Times New Roman" w:cs="Times New Roman"/>
                <w:sz w:val="20"/>
                <w:szCs w:val="20"/>
                <w:lang w:val="ro-RO" w:eastAsia="ro-RO"/>
              </w:rPr>
              <w:t xml:space="preserve">(b) art. 33 din Directiva (UE) 2019/2034 — pentru firmele de investiții care intră sub </w:t>
            </w:r>
            <w:r w:rsidRPr="008E51C3">
              <w:rPr>
                <w:rFonts w:ascii="Times New Roman" w:hAnsi="Times New Roman" w:cs="Times New Roman"/>
                <w:sz w:val="20"/>
                <w:szCs w:val="20"/>
                <w:lang w:val="ro-RO" w:eastAsia="ro-RO"/>
              </w:rPr>
              <w:lastRenderedPageBreak/>
              <w:t xml:space="preserve">incidența acestei prevederi, urmând a fi transpusă prin Legea privind supravegherea prudențială a </w:t>
            </w:r>
            <w:r>
              <w:rPr>
                <w:rFonts w:ascii="Times New Roman" w:hAnsi="Times New Roman" w:cs="Times New Roman"/>
                <w:sz w:val="20"/>
                <w:szCs w:val="20"/>
                <w:lang w:val="ro-RO" w:eastAsia="ro-RO"/>
              </w:rPr>
              <w:t>firmelor</w:t>
            </w:r>
            <w:r w:rsidRPr="008E51C3">
              <w:rPr>
                <w:rFonts w:ascii="Times New Roman" w:hAnsi="Times New Roman" w:cs="Times New Roman"/>
                <w:sz w:val="20"/>
                <w:szCs w:val="20"/>
                <w:lang w:val="ro-RO" w:eastAsia="ro-RO"/>
              </w:rPr>
              <w:t xml:space="preserve"> de investiții.</w:t>
            </w:r>
          </w:p>
        </w:tc>
      </w:tr>
      <w:tr w:rsidR="007B175E" w:rsidRPr="009B7C97" w14:paraId="141A0F1B"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ECB9E1" w14:textId="77777777" w:rsidR="007B175E" w:rsidRDefault="00DF09F2" w:rsidP="007B175E">
            <w:pPr>
              <w:spacing w:after="0" w:line="240" w:lineRule="auto"/>
              <w:jc w:val="both"/>
              <w:rPr>
                <w:rFonts w:ascii="Times New Roman" w:hAnsi="Times New Roman" w:cs="Times New Roman"/>
                <w:b/>
                <w:sz w:val="20"/>
                <w:szCs w:val="20"/>
                <w:lang w:val="ro-RO" w:eastAsia="ro-RO"/>
              </w:rPr>
            </w:pPr>
            <w:r w:rsidRPr="00DF09F2">
              <w:rPr>
                <w:rFonts w:ascii="Times New Roman" w:hAnsi="Times New Roman" w:cs="Times New Roman"/>
                <w:b/>
                <w:sz w:val="20"/>
                <w:szCs w:val="20"/>
                <w:lang w:val="ro-RO" w:eastAsia="ro-RO"/>
              </w:rPr>
              <w:lastRenderedPageBreak/>
              <w:t>Articolul 23. Acţionari</w:t>
            </w:r>
          </w:p>
          <w:p w14:paraId="1BA3CE5F" w14:textId="77777777" w:rsidR="00DF09F2" w:rsidRPr="00DF09F2" w:rsidRDefault="00DF09F2" w:rsidP="007B175E">
            <w:pPr>
              <w:spacing w:after="0" w:line="240" w:lineRule="auto"/>
              <w:jc w:val="both"/>
              <w:rPr>
                <w:rFonts w:ascii="Times New Roman" w:hAnsi="Times New Roman" w:cs="Times New Roman"/>
                <w:bCs/>
                <w:sz w:val="20"/>
                <w:szCs w:val="20"/>
                <w:lang w:val="ro-RO" w:eastAsia="ro-RO"/>
              </w:rPr>
            </w:pPr>
            <w:r w:rsidRPr="00DF09F2">
              <w:rPr>
                <w:rFonts w:ascii="Times New Roman" w:hAnsi="Times New Roman" w:cs="Times New Roman"/>
                <w:bCs/>
                <w:sz w:val="20"/>
                <w:szCs w:val="20"/>
                <w:lang w:val="ro-RO" w:eastAsia="ro-RO"/>
              </w:rPr>
              <w:t>(2) CNPF poate acorda autorizație numai dacă este pe deplin convinsă că, din perspectiva necesităţii asigurării unei administrări corecte, prudente și eficiente a firmei de investiții, calitatea persoanelor prevăzute la alin.(1) este în corespundere cu prevederile art.28.</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30DFFC" w14:textId="77777777" w:rsidR="007B175E" w:rsidRDefault="007B175E"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4C0DBFB5" w14:textId="77777777" w:rsidR="00263797" w:rsidRPr="0030706D"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68051A7"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15</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957C6" w14:textId="77777777" w:rsidR="007B175E" w:rsidRPr="00FE4D41" w:rsidRDefault="007B175E" w:rsidP="007B175E">
            <w:pPr>
              <w:spacing w:after="0" w:line="240" w:lineRule="auto"/>
              <w:jc w:val="both"/>
              <w:rPr>
                <w:rFonts w:ascii="Times New Roman" w:hAnsi="Times New Roman" w:cs="Times New Roman"/>
                <w:sz w:val="20"/>
                <w:szCs w:val="20"/>
                <w:lang w:eastAsia="ro-RO"/>
              </w:rPr>
            </w:pPr>
            <w:r w:rsidRPr="00FE4D41">
              <w:rPr>
                <w:rFonts w:ascii="Times New Roman" w:hAnsi="Times New Roman" w:cs="Times New Roman"/>
                <w:sz w:val="20"/>
                <w:szCs w:val="20"/>
                <w:lang w:eastAsia="ro-RO"/>
              </w:rPr>
              <w:t>Prevederea art.23 alin.(2) necesită revizuire sub aspectul clarității, previzibilității și obiectivității normei juridice. Textul stabilește că CNPF poate acorda autorizație numai dacă „este pe deplin convinsă” că, din perspectiva necesității asigurării unei administrări corecte, prudente și eficiente a firmei de investiții, calitatea persoanelor prevăzute la alin.(1)) corespunde prevederilor art.28.</w:t>
            </w:r>
          </w:p>
          <w:p w14:paraId="1E39142F" w14:textId="77777777" w:rsidR="007B175E" w:rsidRPr="00FE4D41" w:rsidRDefault="007B175E" w:rsidP="007B175E">
            <w:pPr>
              <w:spacing w:after="0" w:line="240" w:lineRule="auto"/>
              <w:jc w:val="both"/>
              <w:rPr>
                <w:rFonts w:ascii="Times New Roman" w:hAnsi="Times New Roman" w:cs="Times New Roman"/>
                <w:sz w:val="20"/>
                <w:szCs w:val="20"/>
                <w:lang w:eastAsia="ro-RO"/>
              </w:rPr>
            </w:pPr>
            <w:r w:rsidRPr="00FE4D41">
              <w:rPr>
                <w:rFonts w:ascii="Times New Roman" w:hAnsi="Times New Roman" w:cs="Times New Roman"/>
                <w:sz w:val="20"/>
                <w:szCs w:val="20"/>
                <w:lang w:eastAsia="ro-RO"/>
              </w:rPr>
              <w:t>Astfel, cuvintele „este pe deplin convinsă” exprimă un criteriu predominant subiectiv, care nu permite identificarea cu suficientă precizie a condițiilor legale ce trebuie întrunite pentru acordarea autorizației. O asemenea formulare poate crea impresia existenței unei marje discreționare excesive a autorității competente și nu oferă destinatarilor normei posibilitatea de a anticipa în mod rezonabil cerințele pe care trebuie să le îndeplinească.</w:t>
            </w:r>
          </w:p>
          <w:p w14:paraId="0EC80CF8" w14:textId="77777777" w:rsidR="007B175E" w:rsidRPr="00FE4D41" w:rsidRDefault="007B175E" w:rsidP="007B175E">
            <w:pPr>
              <w:spacing w:after="0" w:line="240" w:lineRule="auto"/>
              <w:jc w:val="both"/>
              <w:rPr>
                <w:rFonts w:ascii="Times New Roman" w:hAnsi="Times New Roman" w:cs="Times New Roman"/>
                <w:sz w:val="20"/>
                <w:szCs w:val="20"/>
                <w:lang w:eastAsia="ro-RO"/>
              </w:rPr>
            </w:pPr>
            <w:r w:rsidRPr="00FE4D41">
              <w:rPr>
                <w:rFonts w:ascii="Times New Roman" w:hAnsi="Times New Roman" w:cs="Times New Roman"/>
                <w:sz w:val="20"/>
                <w:szCs w:val="20"/>
                <w:lang w:eastAsia="ro-RO"/>
              </w:rPr>
              <w:t>Respectiv, ținând cont de cele expuse mai sus, în vederea respectării exigențelor de securitate juridică și previzibilitate a normei, se recomandă înlocuirea formulării respective cu una care să condiționeze acordarea autorizației de constatarea îndeplinirii criteriilor și cerințelor prevăzute de lege, inclusiv de art.28, pe baza unor elemente obiective și verificabile. Astfel, decizia autorității, în speță CNPF va fi fundamentată pe criterii legale determinate, și nu pe o apreciere formulată în termeni subiectivi.</w:t>
            </w:r>
          </w:p>
          <w:p w14:paraId="2BA63AEB" w14:textId="77777777" w:rsidR="007B175E" w:rsidRPr="00FE4D41" w:rsidRDefault="007B175E" w:rsidP="007B175E">
            <w:pPr>
              <w:spacing w:after="0" w:line="240" w:lineRule="auto"/>
              <w:jc w:val="both"/>
              <w:rPr>
                <w:rFonts w:ascii="Times New Roman" w:hAnsi="Times New Roman" w:cs="Times New Roman"/>
                <w:sz w:val="20"/>
                <w:szCs w:val="20"/>
                <w:lang w:val="ro-RO" w:eastAsia="ro-RO"/>
              </w:rPr>
            </w:pP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F2563" w14:textId="77777777" w:rsidR="007B175E" w:rsidRPr="00FE4D41" w:rsidRDefault="003A370A" w:rsidP="007B175E">
            <w:pPr>
              <w:spacing w:after="0" w:line="240" w:lineRule="auto"/>
              <w:jc w:val="both"/>
              <w:rPr>
                <w:rFonts w:ascii="Times New Roman" w:hAnsi="Times New Roman" w:cs="Times New Roman"/>
                <w:b/>
                <w:sz w:val="20"/>
                <w:szCs w:val="20"/>
                <w:lang w:val="ro-RO" w:eastAsia="ro-RO"/>
              </w:rPr>
            </w:pPr>
            <w:r w:rsidRPr="00FE4D41">
              <w:rPr>
                <w:rFonts w:ascii="Times New Roman" w:hAnsi="Times New Roman" w:cs="Times New Roman"/>
                <w:b/>
                <w:sz w:val="20"/>
                <w:szCs w:val="20"/>
                <w:lang w:val="ro-RO" w:eastAsia="ro-RO"/>
              </w:rPr>
              <w:t>Nu se acceptă.</w:t>
            </w:r>
          </w:p>
          <w:p w14:paraId="62B9FC89" w14:textId="77777777" w:rsidR="003A370A" w:rsidRPr="00FE4D41" w:rsidRDefault="00C261C3" w:rsidP="007B175E">
            <w:pPr>
              <w:spacing w:after="0" w:line="240" w:lineRule="auto"/>
              <w:jc w:val="both"/>
              <w:rPr>
                <w:rFonts w:ascii="Times New Roman" w:hAnsi="Times New Roman" w:cs="Times New Roman"/>
                <w:b/>
                <w:sz w:val="20"/>
                <w:szCs w:val="20"/>
                <w:lang w:val="ro-RO" w:eastAsia="ro-RO"/>
              </w:rPr>
            </w:pPr>
            <w:r w:rsidRPr="00FE4D41">
              <w:rPr>
                <w:rFonts w:ascii="Times New Roman" w:hAnsi="Times New Roman" w:cs="Times New Roman"/>
                <w:bCs/>
                <w:sz w:val="20"/>
                <w:szCs w:val="20"/>
                <w:lang w:val="ro-RO" w:eastAsia="ro-RO"/>
              </w:rPr>
              <w:t xml:space="preserve">Sintagma </w:t>
            </w:r>
            <w:r w:rsidR="00936038" w:rsidRPr="00FE4D41">
              <w:rPr>
                <w:rFonts w:ascii="Times New Roman" w:hAnsi="Times New Roman" w:cs="Times New Roman"/>
                <w:bCs/>
                <w:sz w:val="20"/>
                <w:szCs w:val="20"/>
                <w:lang w:eastAsia="ro-RO"/>
              </w:rPr>
              <w:t>„</w:t>
            </w:r>
            <w:r w:rsidRPr="00FE4D41">
              <w:rPr>
                <w:rFonts w:ascii="Times New Roman" w:hAnsi="Times New Roman" w:cs="Times New Roman"/>
                <w:bCs/>
                <w:sz w:val="20"/>
                <w:szCs w:val="20"/>
                <w:lang w:val="ro-RO" w:eastAsia="ro-RO"/>
              </w:rPr>
              <w:t xml:space="preserve">este pe deplin convinsă” este preluată fidel din art.7 alin.(1) al Directivei 2014/65/UE, asigurând astfel conformitatea terminologică cu actul european de referință. </w:t>
            </w:r>
            <w:r w:rsidR="00FE4D41">
              <w:rPr>
                <w:rFonts w:ascii="Times New Roman" w:hAnsi="Times New Roman" w:cs="Times New Roman"/>
                <w:bCs/>
                <w:sz w:val="20"/>
                <w:szCs w:val="20"/>
                <w:lang w:val="ro-RO" w:eastAsia="ro-RO"/>
              </w:rPr>
              <w:t xml:space="preserve">Totodată, reiterăm argumentele prevăzute la pct.11 </w:t>
            </w:r>
            <w:r w:rsidR="00FE4D41">
              <w:rPr>
                <w:rFonts w:ascii="Times New Roman" w:hAnsi="Times New Roman" w:cs="Times New Roman"/>
                <w:bCs/>
                <w:i/>
                <w:iCs/>
                <w:sz w:val="20"/>
                <w:szCs w:val="20"/>
                <w:lang w:val="ro-RO" w:eastAsia="ro-RO"/>
              </w:rPr>
              <w:t xml:space="preserve">supra </w:t>
            </w:r>
            <w:r w:rsidR="00FE4D41">
              <w:rPr>
                <w:rFonts w:ascii="Times New Roman" w:hAnsi="Times New Roman" w:cs="Times New Roman"/>
                <w:bCs/>
                <w:sz w:val="20"/>
                <w:szCs w:val="20"/>
                <w:lang w:val="ro-RO" w:eastAsia="ro-RO"/>
              </w:rPr>
              <w:t xml:space="preserve">și notăm că </w:t>
            </w:r>
            <w:r w:rsidR="002F4E62">
              <w:rPr>
                <w:rFonts w:ascii="Times New Roman" w:hAnsi="Times New Roman" w:cs="Times New Roman"/>
                <w:bCs/>
                <w:sz w:val="20"/>
                <w:szCs w:val="20"/>
                <w:lang w:val="ro-RO" w:eastAsia="ro-RO"/>
              </w:rPr>
              <w:t>CNPF va emite acte normative secundare care să detalieze procedurile de autorizare în temeiul acestui proiect de lege.</w:t>
            </w:r>
          </w:p>
        </w:tc>
      </w:tr>
      <w:tr w:rsidR="007B175E" w:rsidRPr="009B7C97" w14:paraId="43193DA4"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C23189" w14:textId="77777777" w:rsidR="007B175E" w:rsidRDefault="00DF09F2" w:rsidP="007B175E">
            <w:pPr>
              <w:spacing w:after="0" w:line="240" w:lineRule="auto"/>
              <w:jc w:val="both"/>
              <w:rPr>
                <w:rFonts w:ascii="Times New Roman" w:hAnsi="Times New Roman" w:cs="Times New Roman"/>
                <w:b/>
                <w:sz w:val="20"/>
                <w:szCs w:val="20"/>
                <w:lang w:val="ro-RO" w:eastAsia="ro-RO"/>
              </w:rPr>
            </w:pPr>
            <w:r w:rsidRPr="00DF09F2">
              <w:rPr>
                <w:rFonts w:ascii="Times New Roman" w:hAnsi="Times New Roman" w:cs="Times New Roman"/>
                <w:b/>
                <w:sz w:val="20"/>
                <w:szCs w:val="20"/>
                <w:lang w:val="ro-RO" w:eastAsia="ro-RO"/>
              </w:rPr>
              <w:t>Articolul 27. Procesul de solicitare a aprobării prealabile</w:t>
            </w:r>
          </w:p>
          <w:p w14:paraId="22F32D7D" w14:textId="77777777" w:rsidR="00DF09F2" w:rsidRPr="00DF09F2" w:rsidRDefault="00DF09F2" w:rsidP="007B175E">
            <w:pPr>
              <w:spacing w:after="0" w:line="240" w:lineRule="auto"/>
              <w:jc w:val="both"/>
              <w:rPr>
                <w:rFonts w:ascii="Times New Roman" w:hAnsi="Times New Roman" w:cs="Times New Roman"/>
                <w:bCs/>
                <w:sz w:val="20"/>
                <w:szCs w:val="20"/>
                <w:lang w:val="ro-RO" w:eastAsia="ro-RO"/>
              </w:rPr>
            </w:pPr>
            <w:r w:rsidRPr="00DF09F2">
              <w:rPr>
                <w:rFonts w:ascii="Times New Roman" w:hAnsi="Times New Roman" w:cs="Times New Roman"/>
                <w:bCs/>
                <w:sz w:val="20"/>
                <w:szCs w:val="20"/>
                <w:lang w:val="ro-RO" w:eastAsia="ro-RO"/>
              </w:rPr>
              <w:t>(2) Pentru solicitarea aprobării prealabile prevăzute la art.28 alin.(1), achizitorul potenţial/dobânditorul prezintă documentele şi informaţiile relevante, conform legislației aplicabile, care se examinează în termenele prevăzute la alin.(4)-(7).</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624CA48" w14:textId="77777777" w:rsidR="007B175E"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2C711D00"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72519C"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16</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18185" w14:textId="77777777" w:rsidR="007B175E" w:rsidRPr="00FE4D41" w:rsidRDefault="007B175E" w:rsidP="007B175E">
            <w:pPr>
              <w:spacing w:after="0" w:line="240" w:lineRule="auto"/>
              <w:jc w:val="both"/>
              <w:rPr>
                <w:rFonts w:ascii="Times New Roman" w:hAnsi="Times New Roman" w:cs="Times New Roman"/>
                <w:sz w:val="20"/>
                <w:szCs w:val="20"/>
                <w:lang w:eastAsia="ro-RO"/>
              </w:rPr>
            </w:pPr>
            <w:r w:rsidRPr="00FE4D41">
              <w:rPr>
                <w:rFonts w:ascii="Times New Roman" w:hAnsi="Times New Roman" w:cs="Times New Roman"/>
                <w:sz w:val="20"/>
                <w:szCs w:val="20"/>
                <w:lang w:eastAsia="ro-RO"/>
              </w:rPr>
              <w:t>În altă ordine de idei, prevedea art.27 alin.(2) necesită revizuire sub aspectul clarității și determinării normei juridice, întrucât face trimitere generică la „legislația aplicabilă”, fără a indica actele normative concrete sau categoria acestora.</w:t>
            </w:r>
          </w:p>
          <w:p w14:paraId="5AC2BFD4" w14:textId="77777777" w:rsidR="007B175E" w:rsidRPr="00FE4D41" w:rsidRDefault="007B175E" w:rsidP="007B175E">
            <w:pPr>
              <w:spacing w:after="0" w:line="240" w:lineRule="auto"/>
              <w:jc w:val="both"/>
              <w:rPr>
                <w:rFonts w:ascii="Times New Roman" w:hAnsi="Times New Roman" w:cs="Times New Roman"/>
                <w:sz w:val="20"/>
                <w:szCs w:val="20"/>
                <w:lang w:eastAsia="ro-RO"/>
              </w:rPr>
            </w:pPr>
            <w:r w:rsidRPr="00FE4D41">
              <w:rPr>
                <w:rFonts w:ascii="Times New Roman" w:hAnsi="Times New Roman" w:cs="Times New Roman"/>
                <w:sz w:val="20"/>
                <w:szCs w:val="20"/>
                <w:lang w:eastAsia="ro-RO"/>
              </w:rPr>
              <w:t xml:space="preserve">O asemenea formulare nu asigură previzibiliatetea cerințelor impuse achizitorului/dobânditorului, întrucât nu permite identificarea cu suficientă precizie a documentelor și informațiilor ce trebuie prezentate pentru solicitarea aprobării prealabile. Sintagma utilizată poate genera incertitudine cu privire la aplicabilitatea legislației primare, a actelor normative ale CNPF sau a altor reglementări sectoriale incidente. În vederea respectării principiilor de claritate, </w:t>
            </w:r>
            <w:r w:rsidRPr="00FE4D41">
              <w:rPr>
                <w:rFonts w:ascii="Times New Roman" w:hAnsi="Times New Roman" w:cs="Times New Roman"/>
                <w:sz w:val="20"/>
                <w:szCs w:val="20"/>
                <w:lang w:eastAsia="ro-RO"/>
              </w:rPr>
              <w:lastRenderedPageBreak/>
              <w:t>accesibilitate și securitate juridică a normei, se recomandă indicarea expresă a actelor normative aplicabile sau, după caz, precizarea că documentele și informațiile se prezintă conform actelor normative emise de CNPF în temeiul legii. Totodată, este necesară clarificarea sferei de reglementare vizate (legislație primară, secundară sau reglementări sectoriale), pentru a evita interpretările divergente și aplicarea neuniformă a normei.</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61329" w14:textId="77777777" w:rsidR="00063220" w:rsidRDefault="00DF09F2" w:rsidP="00024267">
            <w:pPr>
              <w:spacing w:after="0" w:line="240" w:lineRule="auto"/>
              <w:jc w:val="both"/>
              <w:rPr>
                <w:rFonts w:ascii="Times New Roman" w:hAnsi="Times New Roman" w:cs="Times New Roman"/>
                <w:b/>
                <w:sz w:val="20"/>
                <w:szCs w:val="20"/>
                <w:lang w:val="ro-RO" w:eastAsia="ro-RO"/>
              </w:rPr>
            </w:pPr>
            <w:r w:rsidRPr="00FE4D41">
              <w:rPr>
                <w:rFonts w:ascii="Times New Roman" w:hAnsi="Times New Roman" w:cs="Times New Roman"/>
                <w:b/>
                <w:sz w:val="20"/>
                <w:szCs w:val="20"/>
                <w:lang w:val="ro-RO" w:eastAsia="ro-RO"/>
              </w:rPr>
              <w:lastRenderedPageBreak/>
              <w:t xml:space="preserve">Se </w:t>
            </w:r>
            <w:r w:rsidR="00024267">
              <w:rPr>
                <w:rFonts w:ascii="Times New Roman" w:hAnsi="Times New Roman" w:cs="Times New Roman"/>
                <w:b/>
                <w:sz w:val="20"/>
                <w:szCs w:val="20"/>
                <w:lang w:val="ro-RO" w:eastAsia="ro-RO"/>
              </w:rPr>
              <w:t>acceptă</w:t>
            </w:r>
          </w:p>
          <w:p w14:paraId="275A025C" w14:textId="77777777" w:rsidR="00024267" w:rsidRPr="00024267" w:rsidRDefault="00024267" w:rsidP="00024267">
            <w:pPr>
              <w:spacing w:after="0" w:line="240" w:lineRule="auto"/>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Trimiterea generică la „legislația aplicabilă” a fost înlocuită cu „actele normative ale CNPF”, având în vedere că toate documentele și informațiile care urmează a fi prezentate conform </w:t>
            </w:r>
            <w:r w:rsidR="00981FC1">
              <w:rPr>
                <w:rFonts w:ascii="Times New Roman" w:hAnsi="Times New Roman" w:cs="Times New Roman"/>
                <w:sz w:val="20"/>
                <w:szCs w:val="20"/>
                <w:lang w:val="ro-RO" w:eastAsia="ro-RO"/>
              </w:rPr>
              <w:t>acestor prevederi, se vor detalia în actele normative emise de CNPF.</w:t>
            </w:r>
          </w:p>
        </w:tc>
      </w:tr>
      <w:tr w:rsidR="007B175E" w:rsidRPr="009B7C97" w14:paraId="20797D00"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E9B96" w14:textId="77777777" w:rsidR="007B175E" w:rsidRPr="00981FC1" w:rsidRDefault="00DF09F2" w:rsidP="007B175E">
            <w:pPr>
              <w:spacing w:after="0" w:line="240" w:lineRule="auto"/>
              <w:jc w:val="both"/>
              <w:rPr>
                <w:rFonts w:ascii="Times New Roman" w:hAnsi="Times New Roman" w:cs="Times New Roman"/>
                <w:b/>
                <w:sz w:val="20"/>
                <w:szCs w:val="20"/>
                <w:lang w:val="ro-RO" w:eastAsia="ro-RO"/>
              </w:rPr>
            </w:pPr>
            <w:r w:rsidRPr="00981FC1">
              <w:rPr>
                <w:rFonts w:ascii="Times New Roman" w:hAnsi="Times New Roman" w:cs="Times New Roman"/>
                <w:b/>
                <w:sz w:val="20"/>
                <w:szCs w:val="20"/>
                <w:lang w:val="ro-RO" w:eastAsia="ro-RO"/>
              </w:rPr>
              <w:t>Articolul 28. Evaluarea achizitorului potenţial/dobânditorului</w:t>
            </w:r>
          </w:p>
          <w:p w14:paraId="5A83AF9E" w14:textId="77777777" w:rsidR="00DF09F2" w:rsidRPr="00981FC1" w:rsidRDefault="00DF09F2" w:rsidP="00DF09F2">
            <w:pPr>
              <w:spacing w:after="0" w:line="240" w:lineRule="auto"/>
              <w:jc w:val="both"/>
              <w:rPr>
                <w:rFonts w:ascii="Times New Roman" w:hAnsi="Times New Roman" w:cs="Times New Roman"/>
                <w:bCs/>
                <w:sz w:val="20"/>
                <w:szCs w:val="20"/>
                <w:lang w:val="ro-RO" w:eastAsia="ro-RO"/>
              </w:rPr>
            </w:pPr>
            <w:r w:rsidRPr="00981FC1">
              <w:rPr>
                <w:rFonts w:ascii="Times New Roman" w:hAnsi="Times New Roman" w:cs="Times New Roman"/>
                <w:bCs/>
                <w:sz w:val="20"/>
                <w:szCs w:val="20"/>
                <w:lang w:val="ro-RO" w:eastAsia="ro-RO"/>
              </w:rPr>
              <w:t>(2) CNPF va elibera aprobarea prealabilă doar dacă:</w:t>
            </w:r>
          </w:p>
          <w:p w14:paraId="08F53058" w14:textId="77777777" w:rsidR="00DF09F2" w:rsidRPr="00981FC1" w:rsidRDefault="00DF09F2" w:rsidP="00DF09F2">
            <w:pPr>
              <w:spacing w:after="0" w:line="240" w:lineRule="auto"/>
              <w:jc w:val="both"/>
              <w:rPr>
                <w:rFonts w:ascii="Times New Roman" w:hAnsi="Times New Roman" w:cs="Times New Roman"/>
                <w:b/>
                <w:sz w:val="20"/>
                <w:szCs w:val="20"/>
                <w:lang w:val="ro-RO" w:eastAsia="ro-RO"/>
              </w:rPr>
            </w:pPr>
            <w:r w:rsidRPr="00981FC1">
              <w:rPr>
                <w:rFonts w:ascii="Times New Roman" w:hAnsi="Times New Roman" w:cs="Times New Roman"/>
                <w:bCs/>
                <w:sz w:val="20"/>
                <w:szCs w:val="20"/>
                <w:lang w:val="ro-RO" w:eastAsia="ro-RO"/>
              </w:rPr>
              <w:t>a) este pe deplin convinsă că calitatea achizitorului potenţial, inclusiv soliditatea financiară a acestuia în raport cu achiziţia propusă, este potrivită şi adecvată prin examinarea cumulativă a criteriilor prevăzute la alin.(1);</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14C61AE" w14:textId="77777777" w:rsidR="007B175E" w:rsidRPr="00981FC1" w:rsidRDefault="00DF09F2" w:rsidP="007B175E">
            <w:pPr>
              <w:spacing w:after="0" w:line="240" w:lineRule="auto"/>
              <w:rPr>
                <w:rFonts w:ascii="Times New Roman" w:eastAsia="Times New Roman" w:hAnsi="Times New Roman" w:cs="Times New Roman"/>
                <w:b/>
                <w:bCs/>
                <w:sz w:val="20"/>
                <w:szCs w:val="20"/>
                <w:lang w:eastAsia="ro-RO"/>
              </w:rPr>
            </w:pPr>
            <w:r w:rsidRPr="00981FC1">
              <w:rPr>
                <w:rFonts w:ascii="Times New Roman" w:eastAsia="Times New Roman" w:hAnsi="Times New Roman" w:cs="Times New Roman"/>
                <w:b/>
                <w:bCs/>
                <w:sz w:val="20"/>
                <w:szCs w:val="20"/>
                <w:lang w:eastAsia="ro-RO"/>
              </w:rPr>
              <w:t>Ministerul Justiției</w:t>
            </w:r>
          </w:p>
          <w:p w14:paraId="2A4C3584" w14:textId="77777777" w:rsidR="00263797" w:rsidRPr="00981FC1" w:rsidRDefault="00263797" w:rsidP="007B175E">
            <w:pPr>
              <w:spacing w:after="0" w:line="240" w:lineRule="auto"/>
              <w:rPr>
                <w:rFonts w:ascii="Times New Roman" w:eastAsia="Times New Roman" w:hAnsi="Times New Roman" w:cs="Times New Roman"/>
                <w:sz w:val="20"/>
                <w:szCs w:val="20"/>
                <w:lang w:eastAsia="ro-RO"/>
              </w:rPr>
            </w:pPr>
            <w:r w:rsidRPr="00981FC1">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8ADD29C" w14:textId="77777777" w:rsidR="007B175E" w:rsidRPr="00981FC1" w:rsidRDefault="005313AD" w:rsidP="00CE1798">
            <w:pPr>
              <w:spacing w:after="0" w:line="240" w:lineRule="auto"/>
              <w:jc w:val="center"/>
              <w:rPr>
                <w:rFonts w:ascii="Times New Roman" w:eastAsia="Times New Roman" w:hAnsi="Times New Roman" w:cs="Times New Roman"/>
                <w:b/>
                <w:bCs/>
                <w:sz w:val="20"/>
                <w:szCs w:val="20"/>
                <w:lang w:eastAsia="ro-RO"/>
              </w:rPr>
            </w:pPr>
            <w:r w:rsidRPr="00981FC1">
              <w:rPr>
                <w:rFonts w:ascii="Times New Roman" w:eastAsia="Times New Roman" w:hAnsi="Times New Roman" w:cs="Times New Roman"/>
                <w:b/>
                <w:bCs/>
                <w:sz w:val="20"/>
                <w:szCs w:val="20"/>
                <w:lang w:eastAsia="ro-RO"/>
              </w:rPr>
              <w:t>17</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5735A" w14:textId="77777777" w:rsidR="007B175E" w:rsidRPr="00981FC1" w:rsidRDefault="007B175E" w:rsidP="007B175E">
            <w:pPr>
              <w:spacing w:after="0" w:line="240" w:lineRule="auto"/>
              <w:jc w:val="both"/>
              <w:rPr>
                <w:rFonts w:ascii="Times New Roman" w:hAnsi="Times New Roman" w:cs="Times New Roman"/>
                <w:sz w:val="20"/>
                <w:szCs w:val="20"/>
                <w:lang w:eastAsia="ro-RO"/>
              </w:rPr>
            </w:pPr>
            <w:r w:rsidRPr="00981FC1">
              <w:rPr>
                <w:rFonts w:ascii="Times New Roman" w:hAnsi="Times New Roman" w:cs="Times New Roman"/>
                <w:sz w:val="20"/>
                <w:szCs w:val="20"/>
                <w:lang w:eastAsia="ro-RO"/>
              </w:rPr>
              <w:t>La art. 28 alin.(2) lit.a), considerăm că textul „va elibera aprobarea prealabilă doar dacă este pe deplin convinsă că calitatea achizitorului potențial, inclusiv soliditatea financiară a acestuia în raport cu achiziția propusă, este potrivită și adecvată” ridică rezerve din perspectiva exigențelor de claritate, previzibilitate și accesibilitate a normei juridice.</w:t>
            </w:r>
          </w:p>
          <w:p w14:paraId="67D724E0" w14:textId="77777777" w:rsidR="007B175E" w:rsidRPr="00981FC1" w:rsidRDefault="007B175E" w:rsidP="007B175E">
            <w:pPr>
              <w:spacing w:after="0" w:line="240" w:lineRule="auto"/>
              <w:jc w:val="both"/>
              <w:rPr>
                <w:rFonts w:ascii="Times New Roman" w:hAnsi="Times New Roman" w:cs="Times New Roman"/>
                <w:sz w:val="20"/>
                <w:szCs w:val="20"/>
                <w:lang w:eastAsia="ro-RO"/>
              </w:rPr>
            </w:pPr>
            <w:r w:rsidRPr="00981FC1">
              <w:rPr>
                <w:rFonts w:ascii="Times New Roman" w:hAnsi="Times New Roman" w:cs="Times New Roman"/>
                <w:sz w:val="20"/>
                <w:szCs w:val="20"/>
                <w:lang w:eastAsia="ro-RO"/>
              </w:rPr>
              <w:t>Reiterăm că, utilizarea sintagmei „pe deplin convinsă” conferă autorității administrative un grad excesiv de apreciere subiectivă, nefiind definit în mod obiectiv standardul de probă sau criteriile concrete care fundamentează această convingere. Din perspectiva tehnicii legislative, normele juridice trebuie să evite formulările de tip apreciativ pur, care nu pot fi circumscrise unor repere verificabile ex ante, întrucât pot genera riscuri de aplicare neunitară și arbitrar administrativă.</w:t>
            </w:r>
          </w:p>
          <w:p w14:paraId="43AE95C4" w14:textId="77777777" w:rsidR="007B175E" w:rsidRPr="00981FC1" w:rsidRDefault="007B175E" w:rsidP="007B175E">
            <w:pPr>
              <w:spacing w:after="0" w:line="240" w:lineRule="auto"/>
              <w:jc w:val="both"/>
              <w:rPr>
                <w:rFonts w:ascii="Times New Roman" w:hAnsi="Times New Roman" w:cs="Times New Roman"/>
                <w:sz w:val="20"/>
                <w:szCs w:val="20"/>
                <w:lang w:eastAsia="ro-RO"/>
              </w:rPr>
            </w:pPr>
            <w:r w:rsidRPr="00981FC1">
              <w:rPr>
                <w:rFonts w:ascii="Times New Roman" w:hAnsi="Times New Roman" w:cs="Times New Roman"/>
                <w:sz w:val="20"/>
                <w:szCs w:val="20"/>
                <w:lang w:eastAsia="ro-RO"/>
              </w:rPr>
              <w:t>Deși norma face trimitere la „examinarea cumulativă a criteriilor prevăzute la alin.(1)”, ceea ce introduce un element de obiectivitate, rămâne neclar în ce măsură aprecierea „calității achizitorului” și a „solidității financiare” este ghidată de indicatori, praguri sau metodologii determinate normativ ori prin acte subsecvente.</w:t>
            </w:r>
          </w:p>
          <w:p w14:paraId="1BB46BBA" w14:textId="77777777" w:rsidR="007B175E" w:rsidRPr="00981FC1" w:rsidRDefault="007B175E" w:rsidP="007B175E">
            <w:pPr>
              <w:spacing w:after="0" w:line="240" w:lineRule="auto"/>
              <w:jc w:val="both"/>
              <w:rPr>
                <w:rFonts w:ascii="Times New Roman" w:hAnsi="Times New Roman" w:cs="Times New Roman"/>
                <w:sz w:val="20"/>
                <w:szCs w:val="20"/>
                <w:lang w:eastAsia="ro-RO"/>
              </w:rPr>
            </w:pPr>
            <w:r w:rsidRPr="00981FC1">
              <w:rPr>
                <w:rFonts w:ascii="Times New Roman" w:hAnsi="Times New Roman" w:cs="Times New Roman"/>
                <w:sz w:val="20"/>
                <w:szCs w:val="20"/>
                <w:lang w:eastAsia="ro-RO"/>
              </w:rPr>
              <w:t>În consecință, se recomandă reanalizarea formulării în sensul înlocuirii expresiei „pe deplin convinsă” cu o formulare obiectivă, raportată la îndeplinirea cumulativă a unor criterii clar definite, în vederea asigurării previzibilității reglementării și a limitării marjei de apreciere a autorității la limitele necesare ale evaluării prudențiale.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58B25" w14:textId="77777777" w:rsidR="007B175E" w:rsidRPr="00981FC1" w:rsidRDefault="00DF09F2" w:rsidP="007B175E">
            <w:pPr>
              <w:spacing w:after="0" w:line="240" w:lineRule="auto"/>
              <w:jc w:val="both"/>
              <w:rPr>
                <w:rFonts w:ascii="Times New Roman" w:hAnsi="Times New Roman" w:cs="Times New Roman"/>
                <w:b/>
                <w:sz w:val="20"/>
                <w:szCs w:val="20"/>
                <w:lang w:val="ro-RO" w:eastAsia="ro-RO"/>
              </w:rPr>
            </w:pPr>
            <w:r w:rsidRPr="00981FC1">
              <w:rPr>
                <w:rFonts w:ascii="Times New Roman" w:hAnsi="Times New Roman" w:cs="Times New Roman"/>
                <w:b/>
                <w:sz w:val="20"/>
                <w:szCs w:val="20"/>
                <w:lang w:val="ro-RO" w:eastAsia="ro-RO"/>
              </w:rPr>
              <w:t xml:space="preserve">Nu se acceptă. </w:t>
            </w:r>
          </w:p>
          <w:p w14:paraId="4B07FCB5" w14:textId="77777777" w:rsidR="00DF09F2" w:rsidRDefault="002F4E62" w:rsidP="007B175E">
            <w:pPr>
              <w:spacing w:after="0" w:line="240" w:lineRule="auto"/>
              <w:jc w:val="both"/>
              <w:rPr>
                <w:rFonts w:ascii="Times New Roman" w:hAnsi="Times New Roman" w:cs="Times New Roman"/>
                <w:bCs/>
                <w:sz w:val="20"/>
                <w:szCs w:val="20"/>
                <w:lang w:val="ro-RO" w:eastAsia="ro-RO"/>
              </w:rPr>
            </w:pPr>
            <w:r w:rsidRPr="00FE4D41">
              <w:rPr>
                <w:rFonts w:ascii="Times New Roman" w:hAnsi="Times New Roman" w:cs="Times New Roman"/>
                <w:bCs/>
                <w:sz w:val="20"/>
                <w:szCs w:val="20"/>
                <w:lang w:val="ro-RO" w:eastAsia="ro-RO"/>
              </w:rPr>
              <w:t xml:space="preserve">Sintagma </w:t>
            </w:r>
            <w:r w:rsidRPr="00FE4D41">
              <w:rPr>
                <w:rFonts w:ascii="Times New Roman" w:hAnsi="Times New Roman" w:cs="Times New Roman"/>
                <w:bCs/>
                <w:sz w:val="20"/>
                <w:szCs w:val="20"/>
                <w:lang w:eastAsia="ro-RO"/>
              </w:rPr>
              <w:t>„</w:t>
            </w:r>
            <w:r w:rsidRPr="00FE4D41">
              <w:rPr>
                <w:rFonts w:ascii="Times New Roman" w:hAnsi="Times New Roman" w:cs="Times New Roman"/>
                <w:bCs/>
                <w:sz w:val="20"/>
                <w:szCs w:val="20"/>
                <w:lang w:val="ro-RO" w:eastAsia="ro-RO"/>
              </w:rPr>
              <w:t>este pe deplin convinsă” este preluată din art.</w:t>
            </w:r>
            <w:r w:rsidR="00F03246">
              <w:rPr>
                <w:rFonts w:ascii="Times New Roman" w:hAnsi="Times New Roman" w:cs="Times New Roman"/>
                <w:bCs/>
                <w:sz w:val="20"/>
                <w:szCs w:val="20"/>
                <w:lang w:val="ro-RO" w:eastAsia="ro-RO"/>
              </w:rPr>
              <w:t>10</w:t>
            </w:r>
            <w:r w:rsidRPr="00FE4D41">
              <w:rPr>
                <w:rFonts w:ascii="Times New Roman" w:hAnsi="Times New Roman" w:cs="Times New Roman"/>
                <w:bCs/>
                <w:sz w:val="20"/>
                <w:szCs w:val="20"/>
                <w:lang w:val="ro-RO" w:eastAsia="ro-RO"/>
              </w:rPr>
              <w:t xml:space="preserve"> alin.(1) </w:t>
            </w:r>
            <w:r w:rsidR="00F03246">
              <w:rPr>
                <w:rFonts w:ascii="Times New Roman" w:hAnsi="Times New Roman" w:cs="Times New Roman"/>
                <w:bCs/>
                <w:sz w:val="20"/>
                <w:szCs w:val="20"/>
                <w:lang w:val="ro-RO" w:eastAsia="ro-RO"/>
              </w:rPr>
              <w:t xml:space="preserve">para.2 coroborat cu art.13 alin.(2) din </w:t>
            </w:r>
            <w:r w:rsidRPr="00FE4D41">
              <w:rPr>
                <w:rFonts w:ascii="Times New Roman" w:hAnsi="Times New Roman" w:cs="Times New Roman"/>
                <w:bCs/>
                <w:sz w:val="20"/>
                <w:szCs w:val="20"/>
                <w:lang w:val="ro-RO" w:eastAsia="ro-RO"/>
              </w:rPr>
              <w:t>Directiv</w:t>
            </w:r>
            <w:r w:rsidR="00F03246">
              <w:rPr>
                <w:rFonts w:ascii="Times New Roman" w:hAnsi="Times New Roman" w:cs="Times New Roman"/>
                <w:bCs/>
                <w:sz w:val="20"/>
                <w:szCs w:val="20"/>
                <w:lang w:val="ro-RO" w:eastAsia="ro-RO"/>
              </w:rPr>
              <w:t>a</w:t>
            </w:r>
            <w:r w:rsidRPr="00FE4D41">
              <w:rPr>
                <w:rFonts w:ascii="Times New Roman" w:hAnsi="Times New Roman" w:cs="Times New Roman"/>
                <w:bCs/>
                <w:sz w:val="20"/>
                <w:szCs w:val="20"/>
                <w:lang w:val="ro-RO" w:eastAsia="ro-RO"/>
              </w:rPr>
              <w:t xml:space="preserve"> 2014/65/UE. </w:t>
            </w:r>
            <w:r>
              <w:rPr>
                <w:rFonts w:ascii="Times New Roman" w:hAnsi="Times New Roman" w:cs="Times New Roman"/>
                <w:bCs/>
                <w:sz w:val="20"/>
                <w:szCs w:val="20"/>
                <w:lang w:val="ro-RO" w:eastAsia="ro-RO"/>
              </w:rPr>
              <w:t xml:space="preserve">Totodată, reiterăm argumentele prevăzute la pct.11 </w:t>
            </w:r>
            <w:r>
              <w:rPr>
                <w:rFonts w:ascii="Times New Roman" w:hAnsi="Times New Roman" w:cs="Times New Roman"/>
                <w:bCs/>
                <w:i/>
                <w:iCs/>
                <w:sz w:val="20"/>
                <w:szCs w:val="20"/>
                <w:lang w:val="ro-RO" w:eastAsia="ro-RO"/>
              </w:rPr>
              <w:t xml:space="preserve">supra </w:t>
            </w:r>
            <w:r>
              <w:rPr>
                <w:rFonts w:ascii="Times New Roman" w:hAnsi="Times New Roman" w:cs="Times New Roman"/>
                <w:bCs/>
                <w:sz w:val="20"/>
                <w:szCs w:val="20"/>
                <w:lang w:val="ro-RO" w:eastAsia="ro-RO"/>
              </w:rPr>
              <w:t>și notăm că CNPF va emite acte normative secundare care să detalieze procedurile de autorizare în temeiul acestui proiect de lege.</w:t>
            </w:r>
          </w:p>
          <w:p w14:paraId="0C7685BF" w14:textId="77777777" w:rsidR="00F03246" w:rsidRDefault="00F03246" w:rsidP="007B175E">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În acest sens, notăm art.28 alin.(4) din proiectul de lege:</w:t>
            </w:r>
          </w:p>
          <w:p w14:paraId="39F5A9A2" w14:textId="77777777" w:rsidR="00F03246" w:rsidRPr="00981FC1" w:rsidRDefault="00F03246" w:rsidP="007B175E">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w:t>
            </w:r>
            <w:r w:rsidRPr="00F03246">
              <w:rPr>
                <w:rFonts w:ascii="Times New Roman" w:hAnsi="Times New Roman" w:cs="Times New Roman"/>
                <w:bCs/>
                <w:sz w:val="20"/>
                <w:szCs w:val="20"/>
                <w:lang w:val="ro-RO" w:eastAsia="ro-RO"/>
              </w:rPr>
              <w:t>(4) Criteriile şi condiţiile prevăzute la alin.(1) și (2), elementele care se au în vedere la evaluarea îndeplinirii acestora, lista de informaţii şi documente pentru realizarea evaluării se detaliază prin actele normative emise pentru executarea prezentei legi. Informațiile şi documentele solicitate sunt proporționale şi adaptate naturii achizitorului potenţial/dobânditorului şi achiziției propuse/dobândirii. CNPF nu solicită informaţii care nu prezintă relevanță din perspectiva unei evaluări prudențiale.</w:t>
            </w:r>
            <w:r>
              <w:rPr>
                <w:rFonts w:ascii="Times New Roman" w:hAnsi="Times New Roman" w:cs="Times New Roman"/>
                <w:bCs/>
                <w:sz w:val="20"/>
                <w:szCs w:val="20"/>
                <w:lang w:val="ro-RO" w:eastAsia="ro-RO"/>
              </w:rPr>
              <w:t>”</w:t>
            </w:r>
          </w:p>
        </w:tc>
      </w:tr>
      <w:tr w:rsidR="007B175E" w:rsidRPr="009B7C97" w14:paraId="65375BE9"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D37F9" w14:textId="77777777" w:rsidR="00DF09F2" w:rsidRPr="00DF09F2" w:rsidRDefault="00DF09F2" w:rsidP="00DF09F2">
            <w:pPr>
              <w:spacing w:after="0" w:line="240" w:lineRule="auto"/>
              <w:jc w:val="both"/>
              <w:rPr>
                <w:rFonts w:ascii="Times New Roman" w:hAnsi="Times New Roman" w:cs="Times New Roman"/>
                <w:b/>
                <w:sz w:val="20"/>
                <w:szCs w:val="20"/>
                <w:lang w:val="ro-RO" w:eastAsia="ro-RO"/>
              </w:rPr>
            </w:pPr>
            <w:r w:rsidRPr="00DF09F2">
              <w:rPr>
                <w:rFonts w:ascii="Times New Roman" w:hAnsi="Times New Roman" w:cs="Times New Roman"/>
                <w:b/>
                <w:sz w:val="20"/>
                <w:szCs w:val="20"/>
                <w:lang w:val="ro-RO" w:eastAsia="ro-RO"/>
              </w:rPr>
              <w:t>Articolul 30. Nerespectarea cerinţelor privind calitatea acţionariatului</w:t>
            </w:r>
          </w:p>
          <w:p w14:paraId="49193688" w14:textId="77777777" w:rsidR="007B175E" w:rsidRDefault="00DF09F2" w:rsidP="00DF09F2">
            <w:pPr>
              <w:spacing w:after="0" w:line="240" w:lineRule="auto"/>
              <w:jc w:val="both"/>
              <w:rPr>
                <w:rFonts w:ascii="Times New Roman" w:hAnsi="Times New Roman" w:cs="Times New Roman"/>
                <w:bCs/>
                <w:sz w:val="20"/>
                <w:szCs w:val="20"/>
                <w:lang w:val="ro-RO" w:eastAsia="ro-RO"/>
              </w:rPr>
            </w:pPr>
            <w:r w:rsidRPr="00DF09F2">
              <w:rPr>
                <w:rFonts w:ascii="Times New Roman" w:hAnsi="Times New Roman" w:cs="Times New Roman"/>
                <w:bCs/>
                <w:sz w:val="20"/>
                <w:szCs w:val="20"/>
                <w:lang w:val="ro-RO" w:eastAsia="ro-RO"/>
              </w:rPr>
              <w:t xml:space="preserve">(1) În cazul în care deținătorul, direct sau indirect, al unei participații calificate, </w:t>
            </w:r>
            <w:r w:rsidRPr="00DF09F2">
              <w:rPr>
                <w:rFonts w:ascii="Times New Roman" w:hAnsi="Times New Roman" w:cs="Times New Roman"/>
                <w:bCs/>
                <w:sz w:val="20"/>
                <w:szCs w:val="20"/>
                <w:lang w:val="ro-RO" w:eastAsia="ro-RO"/>
              </w:rPr>
              <w:lastRenderedPageBreak/>
              <w:t>inclusiv beneficiarul efectiv, nu mai îndeplinește cerinţele prevăzute de prezenta lege şi actele normative emise pentru executarea acesteia privind calitatea acționariatului unei firme de investiții sau exercită asupra acesteia o influență de natură să pericliteze administrarea corecte, prudente și eficiente a firmei de investiții, precum şi în cazul în care deţinătorul, direct sau indirect, inclusiv beneficiarul efectiv al acestuia, nu a furnizat CNPF informaţii care relevă cu certitudine identitatea beneficiarului efectiv sau în cazul în care CNPF constată acţiunea concertată a acţionarilor cu participații calificate fără aprobarea prealabilă a acesteia, CNPF poate dispune următoarele măsuri şi sancţiuni, inclusiv în mod cumulativ:</w:t>
            </w:r>
          </w:p>
          <w:p w14:paraId="674DC89C" w14:textId="77777777" w:rsidR="00DF09F2" w:rsidRPr="00DF09F2" w:rsidRDefault="00DF09F2" w:rsidP="00DF09F2">
            <w:pPr>
              <w:spacing w:after="0" w:line="240" w:lineRule="auto"/>
              <w:jc w:val="both"/>
              <w:rPr>
                <w:rFonts w:ascii="Times New Roman" w:hAnsi="Times New Roman" w:cs="Times New Roman"/>
                <w:bCs/>
                <w:sz w:val="20"/>
                <w:szCs w:val="20"/>
                <w:lang w:val="ro-RO" w:eastAsia="ro-RO"/>
              </w:rPr>
            </w:pPr>
            <w:r w:rsidRPr="00DF09F2">
              <w:rPr>
                <w:rFonts w:ascii="Times New Roman" w:hAnsi="Times New Roman" w:cs="Times New Roman"/>
                <w:bCs/>
                <w:sz w:val="20"/>
                <w:szCs w:val="20"/>
                <w:lang w:val="ro-RO" w:eastAsia="ro-RO"/>
              </w:rPr>
              <w:t>e) aplică alte măsuri şi/sau sancțiuni conform prevederilor prezentei legi.</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E15F445" w14:textId="77777777" w:rsidR="007B175E"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Ministerul Justiției</w:t>
            </w:r>
          </w:p>
          <w:p w14:paraId="1B48CE9D"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32B24D1"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18</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04037" w14:textId="77777777" w:rsidR="007B175E" w:rsidRPr="00F03246" w:rsidRDefault="007B175E" w:rsidP="007B175E">
            <w:pPr>
              <w:spacing w:after="0" w:line="240" w:lineRule="auto"/>
              <w:jc w:val="both"/>
              <w:rPr>
                <w:rFonts w:ascii="Times New Roman" w:hAnsi="Times New Roman" w:cs="Times New Roman"/>
                <w:sz w:val="20"/>
                <w:szCs w:val="20"/>
                <w:lang w:eastAsia="ro-RO"/>
              </w:rPr>
            </w:pPr>
            <w:r w:rsidRPr="00F03246">
              <w:rPr>
                <w:rFonts w:ascii="Times New Roman" w:hAnsi="Times New Roman" w:cs="Times New Roman"/>
                <w:sz w:val="20"/>
                <w:szCs w:val="20"/>
                <w:lang w:eastAsia="ro-RO"/>
              </w:rPr>
              <w:t xml:space="preserve">Art. 30 alin.(1) lit.e) necesită revizuire sub aspectul clarității și determinării normei juridice. Sintagma „aplică alte măsuri și/sau sancțiuni conform prevederilor prezentei legi” are un caracter excesiv de general și nu permite identificarea cu suficientă precizie </w:t>
            </w:r>
            <w:r w:rsidRPr="00F03246">
              <w:rPr>
                <w:rFonts w:ascii="Times New Roman" w:hAnsi="Times New Roman" w:cs="Times New Roman"/>
                <w:sz w:val="20"/>
                <w:szCs w:val="20"/>
                <w:lang w:eastAsia="ro-RO"/>
              </w:rPr>
              <w:lastRenderedPageBreak/>
              <w:t>a măsurilor ori sancțiunilor ce pot fi dispuse de autoritatea competentă. O asemenea formulare instituie o clauză deschisă, care poate conduce la extinderea nelimitată a sferei măsurilor aplicabile și afectează previzibilitatea regimului sancționator, contrar exigențelor de securitate juridică și legalitate a sancțiunilor.</w:t>
            </w:r>
          </w:p>
          <w:p w14:paraId="0B1C531A" w14:textId="77777777" w:rsidR="007B175E" w:rsidRPr="00F03246" w:rsidRDefault="007B175E" w:rsidP="007B175E">
            <w:pPr>
              <w:spacing w:after="0" w:line="240" w:lineRule="auto"/>
              <w:jc w:val="both"/>
              <w:rPr>
                <w:rFonts w:ascii="Times New Roman" w:hAnsi="Times New Roman" w:cs="Times New Roman"/>
                <w:sz w:val="20"/>
                <w:szCs w:val="20"/>
                <w:lang w:eastAsia="ro-RO"/>
              </w:rPr>
            </w:pPr>
            <w:r w:rsidRPr="00F03246">
              <w:rPr>
                <w:rFonts w:ascii="Times New Roman" w:hAnsi="Times New Roman" w:cs="Times New Roman"/>
                <w:sz w:val="20"/>
                <w:szCs w:val="20"/>
                <w:lang w:eastAsia="ro-RO"/>
              </w:rPr>
              <w:t>În vederea asigurării clarității normei, se recomandă fie enumerarea exhaustivă a măsurilor și sancțiunilor aplicabile în acest context, fie limitarea expresă a măsurile și sancțiunile prevăzute în mod concret în alte articole ale acestei legi, prin indicarea acestora sau printr-o trimitere normativă precisă.</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CCD1B" w14:textId="77777777" w:rsidR="00DF09F2" w:rsidRPr="00F03246" w:rsidRDefault="00F51356" w:rsidP="007B175E">
            <w:pPr>
              <w:spacing w:after="0" w:line="240" w:lineRule="auto"/>
              <w:jc w:val="both"/>
              <w:rPr>
                <w:rFonts w:ascii="Times New Roman" w:hAnsi="Times New Roman" w:cs="Times New Roman"/>
                <w:b/>
                <w:sz w:val="20"/>
                <w:szCs w:val="20"/>
                <w:lang w:val="ro-RO" w:eastAsia="ro-RO"/>
              </w:rPr>
            </w:pPr>
            <w:r w:rsidRPr="00F03246">
              <w:rPr>
                <w:rFonts w:ascii="Times New Roman" w:hAnsi="Times New Roman" w:cs="Times New Roman"/>
                <w:b/>
                <w:sz w:val="20"/>
                <w:szCs w:val="20"/>
                <w:lang w:val="ro-RO" w:eastAsia="ro-RO"/>
              </w:rPr>
              <w:lastRenderedPageBreak/>
              <w:t>Se acceptă.</w:t>
            </w:r>
          </w:p>
          <w:p w14:paraId="78457BA4" w14:textId="77777777" w:rsidR="00F51356" w:rsidRPr="00F03246" w:rsidRDefault="00F51356" w:rsidP="007B175E">
            <w:pPr>
              <w:spacing w:after="0" w:line="240" w:lineRule="auto"/>
              <w:jc w:val="both"/>
              <w:rPr>
                <w:rFonts w:ascii="Times New Roman" w:hAnsi="Times New Roman" w:cs="Times New Roman"/>
                <w:bCs/>
                <w:sz w:val="20"/>
                <w:szCs w:val="20"/>
                <w:lang w:val="ro-RO" w:eastAsia="ro-RO"/>
              </w:rPr>
            </w:pPr>
            <w:r w:rsidRPr="00F03246">
              <w:rPr>
                <w:rFonts w:ascii="Times New Roman" w:hAnsi="Times New Roman" w:cs="Times New Roman"/>
                <w:bCs/>
                <w:sz w:val="20"/>
                <w:szCs w:val="20"/>
                <w:lang w:val="ro-RO" w:eastAsia="ro-RO"/>
              </w:rPr>
              <w:t xml:space="preserve">Au fost operate modificări la art.30 alin.(1) lit.e) cu includerea </w:t>
            </w:r>
            <w:r w:rsidR="00F03246" w:rsidRPr="00F03246">
              <w:rPr>
                <w:rFonts w:ascii="Times New Roman" w:hAnsi="Times New Roman" w:cs="Times New Roman"/>
                <w:bCs/>
                <w:sz w:val="20"/>
                <w:szCs w:val="20"/>
                <w:lang w:val="ro-RO" w:eastAsia="ro-RO"/>
              </w:rPr>
              <w:t>trimiteri</w:t>
            </w:r>
            <w:r w:rsidR="00F03246">
              <w:rPr>
                <w:rFonts w:ascii="Times New Roman" w:hAnsi="Times New Roman" w:cs="Times New Roman"/>
                <w:bCs/>
                <w:sz w:val="20"/>
                <w:szCs w:val="20"/>
                <w:lang w:val="ro-RO" w:eastAsia="ro-RO"/>
              </w:rPr>
              <w:t>lor normative</w:t>
            </w:r>
            <w:r w:rsidRPr="00F03246">
              <w:rPr>
                <w:rFonts w:ascii="Times New Roman" w:hAnsi="Times New Roman" w:cs="Times New Roman"/>
                <w:bCs/>
                <w:sz w:val="20"/>
                <w:szCs w:val="20"/>
                <w:lang w:val="ro-RO" w:eastAsia="ro-RO"/>
              </w:rPr>
              <w:t xml:space="preserve"> la art.</w:t>
            </w:r>
            <w:r w:rsidR="00941C02">
              <w:rPr>
                <w:rFonts w:ascii="Times New Roman" w:hAnsi="Times New Roman" w:cs="Times New Roman"/>
                <w:bCs/>
                <w:sz w:val="20"/>
                <w:szCs w:val="20"/>
                <w:lang w:val="ro-RO" w:eastAsia="ro-RO"/>
              </w:rPr>
              <w:t>144 și art.</w:t>
            </w:r>
            <w:r w:rsidRPr="00F03246">
              <w:rPr>
                <w:rFonts w:ascii="Times New Roman" w:hAnsi="Times New Roman" w:cs="Times New Roman"/>
                <w:bCs/>
                <w:sz w:val="20"/>
                <w:szCs w:val="20"/>
                <w:lang w:val="ro-RO" w:eastAsia="ro-RO"/>
              </w:rPr>
              <w:t>146 alin.(1) și (2).</w:t>
            </w:r>
          </w:p>
          <w:p w14:paraId="1CA545EE" w14:textId="77777777" w:rsidR="00DF09F2" w:rsidRPr="00F03246" w:rsidRDefault="00DF09F2" w:rsidP="00DF09F2">
            <w:pPr>
              <w:rPr>
                <w:rFonts w:ascii="Times New Roman" w:hAnsi="Times New Roman" w:cs="Times New Roman"/>
                <w:sz w:val="20"/>
                <w:szCs w:val="20"/>
                <w:lang w:val="ro-RO" w:eastAsia="ro-RO"/>
              </w:rPr>
            </w:pPr>
          </w:p>
          <w:p w14:paraId="0B787EFA" w14:textId="77777777" w:rsidR="00DF09F2" w:rsidRPr="00F03246" w:rsidRDefault="00DF09F2" w:rsidP="00DF09F2">
            <w:pPr>
              <w:rPr>
                <w:rFonts w:ascii="Times New Roman" w:hAnsi="Times New Roman" w:cs="Times New Roman"/>
                <w:b/>
                <w:sz w:val="20"/>
                <w:szCs w:val="20"/>
                <w:lang w:val="ro-RO" w:eastAsia="ro-RO"/>
              </w:rPr>
            </w:pPr>
          </w:p>
          <w:p w14:paraId="28ABE32F" w14:textId="77777777" w:rsidR="00DF09F2" w:rsidRPr="00F03246" w:rsidRDefault="00DF09F2" w:rsidP="00DF09F2">
            <w:pPr>
              <w:jc w:val="center"/>
              <w:rPr>
                <w:rFonts w:ascii="Times New Roman" w:hAnsi="Times New Roman" w:cs="Times New Roman"/>
                <w:sz w:val="20"/>
                <w:szCs w:val="20"/>
                <w:lang w:val="ro-RO" w:eastAsia="ro-RO"/>
              </w:rPr>
            </w:pPr>
          </w:p>
        </w:tc>
      </w:tr>
      <w:tr w:rsidR="007B175E" w:rsidRPr="009B7C97" w14:paraId="796AA037"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CDF1AF" w14:textId="77777777" w:rsidR="00DF09F2" w:rsidRPr="00DF09F2" w:rsidRDefault="00DF09F2" w:rsidP="00DF09F2">
            <w:pPr>
              <w:tabs>
                <w:tab w:val="left" w:pos="1305"/>
              </w:tabs>
              <w:spacing w:after="0" w:line="240" w:lineRule="auto"/>
              <w:jc w:val="both"/>
              <w:rPr>
                <w:rFonts w:ascii="Times New Roman" w:hAnsi="Times New Roman" w:cs="Times New Roman"/>
                <w:b/>
                <w:sz w:val="20"/>
                <w:szCs w:val="20"/>
                <w:lang w:val="ro-RO" w:eastAsia="ro-RO"/>
              </w:rPr>
            </w:pPr>
            <w:r w:rsidRPr="00DF09F2">
              <w:rPr>
                <w:rFonts w:ascii="Times New Roman" w:hAnsi="Times New Roman" w:cs="Times New Roman"/>
                <w:b/>
                <w:sz w:val="20"/>
                <w:szCs w:val="20"/>
                <w:lang w:val="ro-RO" w:eastAsia="ro-RO"/>
              </w:rPr>
              <w:lastRenderedPageBreak/>
              <w:t xml:space="preserve">Articolul 34. Cerințe privind capitalul iniţial </w:t>
            </w:r>
          </w:p>
          <w:p w14:paraId="52BD7999" w14:textId="77777777" w:rsidR="007B175E" w:rsidRPr="00DF09F2" w:rsidRDefault="00DF09F2" w:rsidP="00DF09F2">
            <w:pPr>
              <w:tabs>
                <w:tab w:val="left" w:pos="1305"/>
              </w:tabs>
              <w:spacing w:after="0" w:line="240" w:lineRule="auto"/>
              <w:jc w:val="both"/>
              <w:rPr>
                <w:rFonts w:ascii="Times New Roman" w:hAnsi="Times New Roman" w:cs="Times New Roman"/>
                <w:bCs/>
                <w:sz w:val="20"/>
                <w:szCs w:val="20"/>
                <w:lang w:val="ro-RO" w:eastAsia="ro-RO"/>
              </w:rPr>
            </w:pPr>
            <w:r w:rsidRPr="00DF09F2">
              <w:rPr>
                <w:rFonts w:ascii="Times New Roman" w:hAnsi="Times New Roman" w:cs="Times New Roman"/>
                <w:bCs/>
                <w:sz w:val="20"/>
                <w:szCs w:val="20"/>
                <w:lang w:val="ro-RO" w:eastAsia="ro-RO"/>
              </w:rPr>
              <w:t>(1) Orice entitate care solicită autorizația de firmă de investiții trebuie să dispună de capital inițial suficient, potrivit prevederilor legislației privind supravegherea prudențială a firmelor de investiții, ținând seama de natura serviciului sau a activității de investiții avute în vedere.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9EED72C" w14:textId="77777777" w:rsidR="007B175E"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6AC17EBC"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C27E4A4"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19</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B2219"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t>La art.34 alin.(1), norma stabilește obligația entității de a dispune de „capital inițial suficient, potrivit prevederilor legislației privind supravegherea prudențială a firmelor de investiții”, fără a indica în mod clar și direct cadrul normativ aplicabil sau criteriile determinante ale acestei cerințe.</w:t>
            </w:r>
          </w:p>
          <w:p w14:paraId="2BD7ED9A"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t>Atenționăm că din perspectiva exigențelor de claritate și previzibilitate a normei juridice, se impune ca elementele esențiale ale condiției de autorizare, inclusiv nivelul sau modul de determinare a capitalului inițial, să fie stabilite fie prin această lege, fie prin trimitere expresă la o altă lege sepcială determinată, care reglementează în mod complet și direct acest aspect.</w:t>
            </w:r>
          </w:p>
          <w:p w14:paraId="15C30297"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t>În acest sens, se observă că formularea actuală, prin trimitere generică la „legislația privind supravegherea prudențială”, nu asigură suficientă determinare a cadrului normativ aplicabil și poate genera incertitudine cu privire la norma incidentă și la criteriile efective de evaluare a cerinței de capital.</w:t>
            </w:r>
          </w:p>
          <w:p w14:paraId="754725EE"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lastRenderedPageBreak/>
              <w:t xml:space="preserve">În consecință, se recomandă reformularea dispoziției în sensul fie al stabilirii exprese în lege a principiilor și/sau nivelului capitalului inițial, fie al realizării unei trimiteri clare și determinate la actul legislativ special care reglementează în mod complet cerințele de capital aplicabile firmelor de investiții. </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71BD0" w14:textId="77777777" w:rsidR="007B175E" w:rsidRPr="00403BB0" w:rsidRDefault="00DF09F2" w:rsidP="007B175E">
            <w:pPr>
              <w:spacing w:after="0" w:line="240" w:lineRule="auto"/>
              <w:jc w:val="both"/>
              <w:rPr>
                <w:rFonts w:ascii="Times New Roman" w:hAnsi="Times New Roman" w:cs="Times New Roman"/>
                <w:b/>
                <w:sz w:val="20"/>
                <w:szCs w:val="20"/>
                <w:lang w:val="ro-RO" w:eastAsia="ro-RO"/>
              </w:rPr>
            </w:pPr>
            <w:r w:rsidRPr="00403BB0">
              <w:rPr>
                <w:rFonts w:ascii="Times New Roman" w:hAnsi="Times New Roman" w:cs="Times New Roman"/>
                <w:b/>
                <w:sz w:val="20"/>
                <w:szCs w:val="20"/>
                <w:lang w:val="ro-RO" w:eastAsia="ro-RO"/>
              </w:rPr>
              <w:lastRenderedPageBreak/>
              <w:t>Nu se acceptă</w:t>
            </w:r>
          </w:p>
          <w:p w14:paraId="6B42DA3E" w14:textId="77777777" w:rsidR="00941C02" w:rsidRPr="00403BB0" w:rsidRDefault="00941C02" w:rsidP="007B175E">
            <w:pPr>
              <w:spacing w:after="0" w:line="240" w:lineRule="auto"/>
              <w:jc w:val="both"/>
              <w:rPr>
                <w:rFonts w:ascii="Times New Roman" w:hAnsi="Times New Roman" w:cs="Times New Roman"/>
                <w:bCs/>
                <w:sz w:val="20"/>
                <w:szCs w:val="20"/>
                <w:lang w:val="ro-RO" w:eastAsia="ro-RO"/>
              </w:rPr>
            </w:pPr>
            <w:r w:rsidRPr="00403BB0">
              <w:rPr>
                <w:rFonts w:ascii="Times New Roman" w:hAnsi="Times New Roman" w:cs="Times New Roman"/>
                <w:bCs/>
                <w:sz w:val="20"/>
                <w:szCs w:val="20"/>
                <w:lang w:val="ro-RO" w:eastAsia="ro-RO"/>
              </w:rPr>
              <w:t>Cerințele de capital inițial urmează a fi reglementate</w:t>
            </w:r>
            <w:r w:rsidR="00403BB0">
              <w:rPr>
                <w:rFonts w:ascii="Times New Roman" w:hAnsi="Times New Roman" w:cs="Times New Roman"/>
                <w:bCs/>
                <w:sz w:val="20"/>
                <w:szCs w:val="20"/>
                <w:lang w:val="ro-RO" w:eastAsia="ro-RO"/>
              </w:rPr>
              <w:t xml:space="preserve"> </w:t>
            </w:r>
            <w:r w:rsidRPr="00403BB0">
              <w:rPr>
                <w:rFonts w:ascii="Times New Roman" w:hAnsi="Times New Roman" w:cs="Times New Roman"/>
                <w:bCs/>
                <w:sz w:val="20"/>
                <w:szCs w:val="20"/>
                <w:lang w:val="ro-RO" w:eastAsia="ro-RO"/>
              </w:rPr>
              <w:t>prin Legea privind supravegherea prudențială a firmelor de investiții, care va transpune Directiva (UE) 2019/2034 și Regulamentul (UE) 2019/2033 (</w:t>
            </w:r>
            <w:r w:rsidR="00403BB0" w:rsidRPr="00403BB0">
              <w:rPr>
                <w:rFonts w:ascii="Times New Roman" w:hAnsi="Times New Roman" w:cs="Times New Roman"/>
                <w:bCs/>
                <w:sz w:val="20"/>
                <w:szCs w:val="20"/>
                <w:lang w:val="ro-RO" w:eastAsia="ro-RO"/>
              </w:rPr>
              <w:t xml:space="preserve">este la etala de proiect, număr unic 28/MF/CNPF/2026, accesibilă </w:t>
            </w:r>
            <w:hyperlink r:id="rId9" w:history="1">
              <w:r w:rsidR="00403BB0" w:rsidRPr="00403BB0">
                <w:rPr>
                  <w:rStyle w:val="Hyperlink"/>
                  <w:rFonts w:ascii="Times New Roman" w:hAnsi="Times New Roman" w:cs="Times New Roman"/>
                  <w:bCs/>
                  <w:sz w:val="20"/>
                  <w:szCs w:val="20"/>
                  <w:lang w:val="ro-RO" w:eastAsia="ro-RO"/>
                </w:rPr>
                <w:t>aici</w:t>
              </w:r>
            </w:hyperlink>
            <w:r w:rsidR="00EF4E32">
              <w:rPr>
                <w:rFonts w:ascii="Times New Roman" w:hAnsi="Times New Roman" w:cs="Times New Roman"/>
                <w:bCs/>
                <w:sz w:val="20"/>
                <w:szCs w:val="20"/>
                <w:lang w:val="ro-RO" w:eastAsia="ro-RO"/>
              </w:rPr>
              <w:t>, a se vedea art.11).</w:t>
            </w:r>
          </w:p>
          <w:p w14:paraId="7EBB7B00" w14:textId="77777777" w:rsidR="00DF09F2" w:rsidRPr="00403BB0" w:rsidRDefault="00941C02" w:rsidP="007B175E">
            <w:pPr>
              <w:spacing w:after="0" w:line="240" w:lineRule="auto"/>
              <w:jc w:val="both"/>
              <w:rPr>
                <w:rFonts w:ascii="Times New Roman" w:hAnsi="Times New Roman" w:cs="Times New Roman"/>
                <w:bCs/>
                <w:sz w:val="20"/>
                <w:szCs w:val="20"/>
                <w:lang w:val="ro-RO" w:eastAsia="ro-RO"/>
              </w:rPr>
            </w:pPr>
            <w:r w:rsidRPr="00403BB0">
              <w:rPr>
                <w:rFonts w:ascii="Times New Roman" w:hAnsi="Times New Roman" w:cs="Times New Roman"/>
                <w:bCs/>
                <w:sz w:val="20"/>
                <w:szCs w:val="20"/>
                <w:lang w:val="ro-RO" w:eastAsia="ro-RO"/>
              </w:rPr>
              <w:t xml:space="preserve">Potrivit rigorilor de tehnică legislativă prevăzute de Legea nr.100/2017, în prezentul proiect nu se poate include o trimitere, prin titlu și număr, la un act normativ încă neadoptat, iar stabilirea unor praguri concrete în acest proiect ar genera un paralelism normativ și un risc de neconcordanță cu viitoarea lege prudențială. Trimiterea generică </w:t>
            </w:r>
            <w:r w:rsidRPr="00403BB0">
              <w:rPr>
                <w:rFonts w:ascii="Times New Roman" w:hAnsi="Times New Roman" w:cs="Times New Roman"/>
                <w:bCs/>
                <w:sz w:val="20"/>
                <w:szCs w:val="20"/>
                <w:lang w:val="ro-RO" w:eastAsia="ro-RO"/>
              </w:rPr>
              <w:lastRenderedPageBreak/>
              <w:t>asigură astfel atât fidelitatea transpunerii, cât și coerența cu legislația prudențială specială, care va constitui reperul normativ determinat la momentul intrării sale în vigoare</w:t>
            </w:r>
            <w:r w:rsidR="00403BB0">
              <w:rPr>
                <w:rFonts w:ascii="Times New Roman" w:hAnsi="Times New Roman" w:cs="Times New Roman"/>
                <w:bCs/>
                <w:sz w:val="20"/>
                <w:szCs w:val="20"/>
                <w:lang w:val="ro-RO" w:eastAsia="ro-RO"/>
              </w:rPr>
              <w:t>.</w:t>
            </w:r>
          </w:p>
        </w:tc>
      </w:tr>
      <w:tr w:rsidR="007B175E" w:rsidRPr="009B7C97" w14:paraId="7532DE62" w14:textId="77777777" w:rsidTr="004E05CB">
        <w:trPr>
          <w:trHeight w:val="1988"/>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914982" w14:textId="77777777" w:rsidR="007B175E" w:rsidRDefault="00CD2322" w:rsidP="007B175E">
            <w:pPr>
              <w:spacing w:after="0" w:line="240" w:lineRule="auto"/>
              <w:jc w:val="both"/>
              <w:rPr>
                <w:rFonts w:ascii="Times New Roman" w:hAnsi="Times New Roman" w:cs="Times New Roman"/>
                <w:b/>
                <w:sz w:val="20"/>
                <w:szCs w:val="20"/>
                <w:lang w:val="ro-RO" w:eastAsia="ro-RO"/>
              </w:rPr>
            </w:pPr>
            <w:r w:rsidRPr="00CD2322">
              <w:rPr>
                <w:rFonts w:ascii="Times New Roman" w:hAnsi="Times New Roman" w:cs="Times New Roman"/>
                <w:b/>
                <w:sz w:val="20"/>
                <w:szCs w:val="20"/>
                <w:lang w:val="ro-RO" w:eastAsia="ro-RO"/>
              </w:rPr>
              <w:lastRenderedPageBreak/>
              <w:t>Articolul 47. Clasificarea clienților</w:t>
            </w:r>
          </w:p>
          <w:p w14:paraId="02BDA685" w14:textId="77777777" w:rsidR="00CD2322" w:rsidRDefault="00CD2322" w:rsidP="00CD2322">
            <w:pPr>
              <w:spacing w:after="0" w:line="240" w:lineRule="auto"/>
              <w:jc w:val="both"/>
              <w:rPr>
                <w:rFonts w:ascii="Times New Roman" w:hAnsi="Times New Roman" w:cs="Times New Roman"/>
                <w:bCs/>
                <w:sz w:val="20"/>
                <w:szCs w:val="20"/>
                <w:lang w:val="ro-RO" w:eastAsia="ro-RO"/>
              </w:rPr>
            </w:pPr>
            <w:r w:rsidRPr="00CD2322">
              <w:rPr>
                <w:rFonts w:ascii="Times New Roman" w:hAnsi="Times New Roman" w:cs="Times New Roman"/>
                <w:bCs/>
                <w:sz w:val="20"/>
                <w:szCs w:val="20"/>
                <w:lang w:val="ro-RO" w:eastAsia="ro-RO"/>
              </w:rPr>
              <w:t>(4) În sensul prezentului articol și art.62, sunt recunoscute drept contrapărţi eligibile:</w:t>
            </w:r>
          </w:p>
          <w:p w14:paraId="40A9E8D3" w14:textId="77777777" w:rsidR="00835833" w:rsidRPr="00CE1798" w:rsidRDefault="00835833" w:rsidP="00CD2322">
            <w:pPr>
              <w:spacing w:after="0" w:line="240" w:lineRule="auto"/>
              <w:jc w:val="both"/>
              <w:rPr>
                <w:rFonts w:ascii="Times New Roman" w:hAnsi="Times New Roman" w:cs="Times New Roman"/>
                <w:bCs/>
                <w:i/>
                <w:iCs/>
                <w:sz w:val="20"/>
                <w:szCs w:val="20"/>
                <w:lang w:eastAsia="ro-RO"/>
              </w:rPr>
            </w:pPr>
            <w:r w:rsidRPr="00CE1798">
              <w:rPr>
                <w:rFonts w:ascii="Times New Roman" w:hAnsi="Times New Roman" w:cs="Times New Roman"/>
                <w:bCs/>
                <w:i/>
                <w:iCs/>
                <w:sz w:val="20"/>
                <w:szCs w:val="20"/>
                <w:lang w:eastAsia="ro-RO"/>
              </w:rPr>
              <w:t>[…]</w:t>
            </w:r>
          </w:p>
          <w:p w14:paraId="5155BC72" w14:textId="77777777" w:rsidR="00CD2322" w:rsidRPr="00CD2322" w:rsidRDefault="00CD2322" w:rsidP="00CD2322">
            <w:pPr>
              <w:spacing w:after="0" w:line="240" w:lineRule="auto"/>
              <w:jc w:val="both"/>
              <w:rPr>
                <w:rFonts w:ascii="Times New Roman" w:hAnsi="Times New Roman" w:cs="Times New Roman"/>
                <w:bCs/>
                <w:sz w:val="20"/>
                <w:szCs w:val="20"/>
                <w:lang w:val="ro-RO" w:eastAsia="ro-RO"/>
              </w:rPr>
            </w:pPr>
            <w:r w:rsidRPr="00CD2322">
              <w:rPr>
                <w:rFonts w:ascii="Times New Roman" w:hAnsi="Times New Roman" w:cs="Times New Roman"/>
                <w:bCs/>
                <w:sz w:val="20"/>
                <w:szCs w:val="20"/>
                <w:lang w:val="ro-RO" w:eastAsia="ro-RO"/>
              </w:rPr>
              <w:t>i) organizaţiile supranaţionale;</w:t>
            </w:r>
          </w:p>
          <w:p w14:paraId="612B516E" w14:textId="77777777" w:rsidR="00835833" w:rsidRDefault="00835833" w:rsidP="00835833">
            <w:pPr>
              <w:spacing w:after="0" w:line="240" w:lineRule="auto"/>
              <w:jc w:val="both"/>
              <w:rPr>
                <w:rFonts w:ascii="Times New Roman" w:hAnsi="Times New Roman" w:cs="Times New Roman"/>
                <w:bCs/>
                <w:sz w:val="20"/>
                <w:szCs w:val="20"/>
                <w:lang w:val="ro-RO" w:eastAsia="ro-RO"/>
              </w:rPr>
            </w:pPr>
          </w:p>
          <w:p w14:paraId="55DFD801" w14:textId="77777777" w:rsidR="00835833" w:rsidRPr="00835833" w:rsidRDefault="00835833" w:rsidP="00835833">
            <w:pPr>
              <w:spacing w:after="0" w:line="240" w:lineRule="auto"/>
              <w:jc w:val="both"/>
              <w:rPr>
                <w:rFonts w:ascii="Times New Roman" w:hAnsi="Times New Roman" w:cs="Times New Roman"/>
                <w:b/>
                <w:sz w:val="20"/>
                <w:szCs w:val="20"/>
                <w:lang w:val="ro-RO" w:eastAsia="ro-RO"/>
              </w:rPr>
            </w:pPr>
            <w:r w:rsidRPr="00835833">
              <w:rPr>
                <w:rFonts w:ascii="Times New Roman" w:hAnsi="Times New Roman" w:cs="Times New Roman"/>
                <w:b/>
                <w:sz w:val="20"/>
                <w:szCs w:val="20"/>
                <w:lang w:val="ro-RO" w:eastAsia="ro-RO"/>
              </w:rPr>
              <w:t>Articolul 48. Clienții considerați clienți profesioniști</w:t>
            </w:r>
          </w:p>
          <w:p w14:paraId="076E7F8D" w14:textId="77777777" w:rsid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(1) Următoarele categorii de clienți sunt considerați profesioniști pentru toate serviciile şi activitățile de investiții şi instrumentele financiare în sensul prezentei legi:</w:t>
            </w:r>
          </w:p>
          <w:p w14:paraId="351FE7E4" w14:textId="77777777" w:rsid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1) entitățile care trebuie autorizate sau reglementate pentru a opera pe pieţele financiare, indiferent de jurisdicția în care sunt autorizate sau reglementate, inclusiv entitățile care exercită activități caracteristice:</w:t>
            </w:r>
          </w:p>
          <w:p w14:paraId="240FDAFD" w14:textId="77777777" w:rsidR="00835833" w:rsidRPr="00835833" w:rsidRDefault="00835833" w:rsidP="00835833">
            <w:pPr>
              <w:spacing w:after="0" w:line="240" w:lineRule="auto"/>
              <w:jc w:val="both"/>
              <w:rPr>
                <w:rFonts w:ascii="Times New Roman" w:hAnsi="Times New Roman" w:cs="Times New Roman"/>
                <w:bCs/>
                <w:i/>
                <w:iCs/>
                <w:sz w:val="20"/>
                <w:szCs w:val="20"/>
                <w:lang w:val="ro-RO" w:eastAsia="ro-RO"/>
              </w:rPr>
            </w:pPr>
            <w:r w:rsidRPr="00835833">
              <w:rPr>
                <w:rFonts w:ascii="Times New Roman" w:hAnsi="Times New Roman" w:cs="Times New Roman"/>
                <w:bCs/>
                <w:i/>
                <w:iCs/>
                <w:sz w:val="20"/>
                <w:szCs w:val="20"/>
                <w:lang w:val="ro-RO" w:eastAsia="ro-RO"/>
              </w:rPr>
              <w:t>[...]</w:t>
            </w:r>
          </w:p>
          <w:p w14:paraId="0F50E87D"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h) societăților locale;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F3CF50" w14:textId="77777777" w:rsidR="007B175E"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7D6509F9"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83C9476" w14:textId="77777777" w:rsidR="007B175E"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20</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84836"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t>La art.47 alin.(4) și art.48 alin.(1) se utilizează în mod neclar și insuficient determinat anumite categorii de subiecte juridice în cadrul regimului aplicabil clienților profesioniști și contrapărților eligibile, în special termenele de „organizații supranaționale” și „societăți locale”, fără a le defini și fără a stabili criterii obiective de încadrare.</w:t>
            </w:r>
          </w:p>
          <w:p w14:paraId="39971530"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t>Menționăm că, în cazul „organizațiilor supranaționale”, deși sunt indicate cu titlu exemplificativ anumite instituții internaționale, formularea rămâne deschisă, fără a delimita în mod previzibil sfera altor entități similare, ceea ce afectează securitatea juridică a normei. Mai problematic, termenul „societăți locale” nu este definit în cuprinsul proiectului și nu poate fi dedus în mod clar din economica reglementării, ceea ce face imposibilă determinarea exactă a subiecților vizați de această categorie.</w:t>
            </w:r>
          </w:p>
          <w:p w14:paraId="7414968B" w14:textId="77777777" w:rsidR="007B175E" w:rsidRPr="00403BB0" w:rsidRDefault="007B175E" w:rsidP="007B175E">
            <w:pPr>
              <w:spacing w:after="0" w:line="240" w:lineRule="auto"/>
              <w:jc w:val="both"/>
              <w:rPr>
                <w:rFonts w:ascii="Times New Roman" w:hAnsi="Times New Roman" w:cs="Times New Roman"/>
                <w:sz w:val="20"/>
                <w:szCs w:val="20"/>
                <w:lang w:eastAsia="ro-RO"/>
              </w:rPr>
            </w:pPr>
            <w:r w:rsidRPr="00403BB0">
              <w:rPr>
                <w:rFonts w:ascii="Times New Roman" w:hAnsi="Times New Roman" w:cs="Times New Roman"/>
                <w:sz w:val="20"/>
                <w:szCs w:val="20"/>
                <w:lang w:eastAsia="ro-RO"/>
              </w:rPr>
              <w:t>Atenționăm că această lipsă de claritate este amplificată și de lipsa unei corelări coerente cu reglementarea anterioară, respectiv art.137 din Legea nr.171/2012 privind piața de capital, care utiliza o structură conceptuală distinctă, respectiv noțiunile de „clienți profesioniști” și „investitori instituționali”, definite într-un mod mai strict și mai determinat, inclusiv prin criterii expres prevăzute pentru autorități</w:t>
            </w:r>
            <w:r w:rsidR="00FD4B2E" w:rsidRPr="00403BB0">
              <w:rPr>
                <w:rFonts w:ascii="Times New Roman" w:hAnsi="Times New Roman" w:cs="Times New Roman"/>
                <w:sz w:val="20"/>
                <w:szCs w:val="20"/>
                <w:lang w:eastAsia="ro-RO"/>
              </w:rPr>
              <w:t xml:space="preserve"> publice, instituții internaționale și alte entități eligibile. În acest context, introducerea unor noțiuni noi sau reconfigurate, fără definire legală și fără armonizare explicită cu cadrul anterior abrogat, generează incertitudine normativă cu privire la continuitatea și delimitarea categoriilor de subiecți de drept. Prin urmare, reglementarea propusă nu asigură un nivel suficient de claritate, previzibilitate și coerență legislativă, fiind susceptibilă să afecteze aplicarea uniformă a normelor privind clasificarea clienților pe piața de capital.</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056F8" w14:textId="77777777" w:rsidR="007B175E" w:rsidRPr="00EF4E32" w:rsidRDefault="00EF4E32" w:rsidP="007B175E">
            <w:pPr>
              <w:spacing w:after="0" w:line="240" w:lineRule="auto"/>
              <w:jc w:val="both"/>
              <w:rPr>
                <w:rFonts w:ascii="Times New Roman" w:hAnsi="Times New Roman" w:cs="Times New Roman"/>
                <w:b/>
                <w:sz w:val="20"/>
                <w:szCs w:val="20"/>
                <w:lang w:val="ro-RO" w:eastAsia="ro-RO"/>
              </w:rPr>
            </w:pPr>
            <w:r w:rsidRPr="00EF4E32">
              <w:rPr>
                <w:rFonts w:ascii="Times New Roman" w:hAnsi="Times New Roman" w:cs="Times New Roman"/>
                <w:b/>
                <w:sz w:val="20"/>
                <w:szCs w:val="20"/>
                <w:lang w:val="ro-RO" w:eastAsia="ro-RO"/>
              </w:rPr>
              <w:t>Nu se acceptă</w:t>
            </w:r>
          </w:p>
          <w:p w14:paraId="3D754754" w14:textId="77777777" w:rsidR="00EF4E32" w:rsidRDefault="00EF4E32" w:rsidP="007B175E">
            <w:pPr>
              <w:spacing w:after="0" w:line="240" w:lineRule="auto"/>
              <w:jc w:val="both"/>
              <w:rPr>
                <w:rFonts w:ascii="Times New Roman" w:hAnsi="Times New Roman" w:cs="Times New Roman"/>
                <w:bCs/>
                <w:sz w:val="20"/>
                <w:szCs w:val="20"/>
                <w:lang w:val="ro-RO" w:eastAsia="ro-RO"/>
              </w:rPr>
            </w:pPr>
            <w:r w:rsidRPr="00EF4E32">
              <w:rPr>
                <w:rFonts w:ascii="Times New Roman" w:hAnsi="Times New Roman" w:cs="Times New Roman"/>
                <w:bCs/>
                <w:sz w:val="20"/>
                <w:szCs w:val="20"/>
                <w:lang w:val="ro-RO" w:eastAsia="ro-RO"/>
              </w:rPr>
              <w:t xml:space="preserve">Categoriile vizate nu sunt noțiuni introduse de </w:t>
            </w:r>
            <w:r w:rsidR="000925E9">
              <w:rPr>
                <w:rFonts w:ascii="Times New Roman" w:hAnsi="Times New Roman" w:cs="Times New Roman"/>
                <w:bCs/>
                <w:sz w:val="20"/>
                <w:szCs w:val="20"/>
                <w:lang w:val="ro-RO" w:eastAsia="ro-RO"/>
              </w:rPr>
              <w:t>autori</w:t>
            </w:r>
            <w:r w:rsidRPr="00EF4E32">
              <w:rPr>
                <w:rFonts w:ascii="Times New Roman" w:hAnsi="Times New Roman" w:cs="Times New Roman"/>
                <w:bCs/>
                <w:sz w:val="20"/>
                <w:szCs w:val="20"/>
                <w:lang w:val="ro-RO" w:eastAsia="ro-RO"/>
              </w:rPr>
              <w:t>, ci sunt preluate ca atare din Directiva 2014/65/UE: art.47 alin.(4) (contrapărți eligibile) transpune art.30 din directivă, iar art.48 alin.(1) (clienți profesioniști) transpune anexa II secțiunea I la directivă, iar „societățile locale</w:t>
            </w:r>
            <w:r w:rsidR="002F3FF3">
              <w:rPr>
                <w:rFonts w:ascii="Times New Roman" w:hAnsi="Times New Roman" w:cs="Times New Roman"/>
                <w:bCs/>
                <w:sz w:val="20"/>
                <w:szCs w:val="20"/>
                <w:lang w:val="ro-RO" w:eastAsia="ro-RO"/>
              </w:rPr>
              <w:t>”</w:t>
            </w:r>
            <w:r w:rsidRPr="00EF4E32">
              <w:rPr>
                <w:rFonts w:ascii="Times New Roman" w:hAnsi="Times New Roman" w:cs="Times New Roman"/>
                <w:bCs/>
                <w:sz w:val="20"/>
                <w:szCs w:val="20"/>
                <w:lang w:val="ro-RO" w:eastAsia="ro-RO"/>
              </w:rPr>
              <w:t xml:space="preserve"> („locals</w:t>
            </w:r>
            <w:r w:rsidR="002F3FF3">
              <w:rPr>
                <w:rFonts w:ascii="Times New Roman" w:hAnsi="Times New Roman" w:cs="Times New Roman"/>
                <w:bCs/>
                <w:sz w:val="20"/>
                <w:szCs w:val="20"/>
                <w:lang w:val="ro-RO" w:eastAsia="ro-RO"/>
              </w:rPr>
              <w:t>”</w:t>
            </w:r>
            <w:r w:rsidRPr="00EF4E32">
              <w:rPr>
                <w:rFonts w:ascii="Times New Roman" w:hAnsi="Times New Roman" w:cs="Times New Roman"/>
                <w:bCs/>
                <w:sz w:val="20"/>
                <w:szCs w:val="20"/>
                <w:lang w:val="ro-RO" w:eastAsia="ro-RO"/>
              </w:rPr>
              <w:t xml:space="preserve">) constituie una dintre categoriile enumerate expres în anexa II secțiunea I pct.(1) </w:t>
            </w:r>
            <w:r w:rsidR="002F3FF3">
              <w:rPr>
                <w:rFonts w:ascii="Times New Roman" w:hAnsi="Times New Roman" w:cs="Times New Roman"/>
                <w:bCs/>
                <w:sz w:val="20"/>
                <w:szCs w:val="20"/>
                <w:lang w:val="ro-RO" w:eastAsia="ro-RO"/>
              </w:rPr>
              <w:t xml:space="preserve">lit.(h) </w:t>
            </w:r>
            <w:r w:rsidRPr="00EF4E32">
              <w:rPr>
                <w:rFonts w:ascii="Times New Roman" w:hAnsi="Times New Roman" w:cs="Times New Roman"/>
                <w:bCs/>
                <w:sz w:val="20"/>
                <w:szCs w:val="20"/>
                <w:lang w:val="ro-RO" w:eastAsia="ro-RO"/>
              </w:rPr>
              <w:t>din directivă.</w:t>
            </w:r>
          </w:p>
          <w:p w14:paraId="573E362F" w14:textId="77777777" w:rsidR="004E05CB" w:rsidRDefault="004E05CB" w:rsidP="007B175E">
            <w:pPr>
              <w:spacing w:after="0" w:line="240" w:lineRule="auto"/>
              <w:jc w:val="both"/>
              <w:rPr>
                <w:rFonts w:ascii="Times New Roman" w:hAnsi="Times New Roman" w:cs="Times New Roman"/>
                <w:bCs/>
                <w:sz w:val="20"/>
                <w:szCs w:val="20"/>
                <w:lang w:val="ro-RO" w:eastAsia="ro-RO"/>
              </w:rPr>
            </w:pPr>
            <w:r w:rsidRPr="004E05CB">
              <w:rPr>
                <w:rFonts w:ascii="Times New Roman" w:hAnsi="Times New Roman" w:cs="Times New Roman"/>
                <w:bCs/>
                <w:sz w:val="20"/>
                <w:szCs w:val="20"/>
                <w:lang w:val="ro-RO" w:eastAsia="ro-RO"/>
              </w:rPr>
              <w:t>Clasificarea clienților (clienți de retail, clienți profesioniști și contrapărți eligibile) constituie un regim armonizat al Uniunii Europene, conceput pentru a asigura un tratament uniform și recunoașterea reciprocă, la nivel transfrontalier, a categoriilor de clienți și de contrapărți</w:t>
            </w:r>
            <w:r>
              <w:rPr>
                <w:rFonts w:ascii="Times New Roman" w:hAnsi="Times New Roman" w:cs="Times New Roman"/>
                <w:bCs/>
                <w:sz w:val="20"/>
                <w:szCs w:val="20"/>
                <w:lang w:val="ro-RO" w:eastAsia="ro-RO"/>
              </w:rPr>
              <w:t xml:space="preserve">, </w:t>
            </w:r>
            <w:r w:rsidRPr="004E05CB">
              <w:rPr>
                <w:rFonts w:ascii="Times New Roman" w:hAnsi="Times New Roman" w:cs="Times New Roman"/>
                <w:bCs/>
                <w:sz w:val="20"/>
                <w:szCs w:val="20"/>
                <w:lang w:val="ro-RO" w:eastAsia="ro-RO"/>
              </w:rPr>
              <w:t xml:space="preserve">astfel încât o entitate calificată drept contraparte eligibilă ori client profesionist într-un stat membru este recunoscută ca atare în relațiile cu firme din alte state. O definire sau o restrângere națională a acestor noțiuni ar fragmenta acest regim și ar afecta însuși mecanismul de recunoaștere reciprocă. </w:t>
            </w:r>
          </w:p>
          <w:p w14:paraId="08B18CA8" w14:textId="77777777" w:rsidR="002F3FF3" w:rsidRDefault="004E05CB" w:rsidP="007B175E">
            <w:pPr>
              <w:spacing w:after="0" w:line="240" w:lineRule="auto"/>
              <w:jc w:val="both"/>
              <w:rPr>
                <w:rFonts w:ascii="Times New Roman" w:hAnsi="Times New Roman" w:cs="Times New Roman"/>
                <w:bCs/>
                <w:sz w:val="20"/>
                <w:szCs w:val="20"/>
                <w:lang w:val="ro-RO" w:eastAsia="ro-RO"/>
              </w:rPr>
            </w:pPr>
            <w:r w:rsidRPr="004E05CB">
              <w:rPr>
                <w:rFonts w:ascii="Times New Roman" w:hAnsi="Times New Roman" w:cs="Times New Roman"/>
                <w:bCs/>
                <w:sz w:val="20"/>
                <w:szCs w:val="20"/>
                <w:lang w:val="ro-RO" w:eastAsia="ro-RO"/>
              </w:rPr>
              <w:t xml:space="preserve">Din acest motiv, statele membre au transpus dispozițiile respective prin preluarea fidelă a listelor din art.30 și din anexa II la Directiva 2014/65/UE, fără a institui definiții naționale proprii </w:t>
            </w:r>
            <w:r>
              <w:rPr>
                <w:rFonts w:ascii="Times New Roman" w:hAnsi="Times New Roman" w:cs="Times New Roman"/>
                <w:bCs/>
                <w:sz w:val="20"/>
                <w:szCs w:val="20"/>
                <w:lang w:val="ro-RO" w:eastAsia="ro-RO"/>
              </w:rPr>
              <w:t>(</w:t>
            </w:r>
            <w:r w:rsidRPr="004E05CB">
              <w:rPr>
                <w:rFonts w:ascii="Times New Roman" w:hAnsi="Times New Roman" w:cs="Times New Roman"/>
                <w:bCs/>
                <w:sz w:val="20"/>
                <w:szCs w:val="20"/>
                <w:lang w:val="ro-RO" w:eastAsia="ro-RO"/>
              </w:rPr>
              <w:t xml:space="preserve">de exemplu, România, prin Legea nr.126/2018 privind piețele de instrumente </w:t>
            </w:r>
            <w:r w:rsidRPr="004E05CB">
              <w:rPr>
                <w:rFonts w:ascii="Times New Roman" w:hAnsi="Times New Roman" w:cs="Times New Roman"/>
                <w:bCs/>
                <w:sz w:val="20"/>
                <w:szCs w:val="20"/>
                <w:lang w:val="ro-RO" w:eastAsia="ro-RO"/>
              </w:rPr>
              <w:lastRenderedPageBreak/>
              <w:t>financiare, reproduce aceste categorii ca atare</w:t>
            </w:r>
            <w:r>
              <w:rPr>
                <w:rFonts w:ascii="Times New Roman" w:hAnsi="Times New Roman" w:cs="Times New Roman"/>
                <w:bCs/>
                <w:sz w:val="20"/>
                <w:szCs w:val="20"/>
                <w:lang w:val="ro-RO" w:eastAsia="ro-RO"/>
              </w:rPr>
              <w:t>)</w:t>
            </w:r>
            <w:r w:rsidRPr="004E05CB">
              <w:rPr>
                <w:rFonts w:ascii="Times New Roman" w:hAnsi="Times New Roman" w:cs="Times New Roman"/>
                <w:bCs/>
                <w:sz w:val="20"/>
                <w:szCs w:val="20"/>
                <w:lang w:val="ro-RO" w:eastAsia="ro-RO"/>
              </w:rPr>
              <w:t xml:space="preserve">. </w:t>
            </w:r>
          </w:p>
          <w:p w14:paraId="1E6DCBDF" w14:textId="77777777" w:rsidR="004E05CB" w:rsidRPr="00EF4E32" w:rsidRDefault="00FB6AC6" w:rsidP="007B175E">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Notăm că</w:t>
            </w:r>
            <w:r w:rsidR="004E05CB" w:rsidRPr="004E05CB">
              <w:rPr>
                <w:rFonts w:ascii="Times New Roman" w:hAnsi="Times New Roman" w:cs="Times New Roman"/>
                <w:bCs/>
                <w:sz w:val="20"/>
                <w:szCs w:val="20"/>
                <w:lang w:val="ro-RO" w:eastAsia="ro-RO"/>
              </w:rPr>
              <w:t xml:space="preserve"> art.137 din Legea nr.171/2012 reflectă structura conceptuală a cadrului anterior al Uniunii Europene </w:t>
            </w:r>
            <w:r w:rsidR="004E05CB">
              <w:rPr>
                <w:rFonts w:ascii="Times New Roman" w:hAnsi="Times New Roman" w:cs="Times New Roman"/>
                <w:bCs/>
                <w:sz w:val="20"/>
                <w:szCs w:val="20"/>
                <w:lang w:val="ro-RO" w:eastAsia="ro-RO"/>
              </w:rPr>
              <w:t>-</w:t>
            </w:r>
            <w:r w:rsidR="004E05CB" w:rsidRPr="004E05CB">
              <w:rPr>
                <w:rFonts w:ascii="Times New Roman" w:hAnsi="Times New Roman" w:cs="Times New Roman"/>
                <w:bCs/>
                <w:sz w:val="20"/>
                <w:szCs w:val="20"/>
                <w:lang w:val="ro-RO" w:eastAsia="ro-RO"/>
              </w:rPr>
              <w:t xml:space="preserve"> Directiva 2004/39/CE (MiFID I), abrogat</w:t>
            </w:r>
            <w:r w:rsidR="004E05CB">
              <w:rPr>
                <w:rFonts w:ascii="Times New Roman" w:hAnsi="Times New Roman" w:cs="Times New Roman"/>
                <w:bCs/>
                <w:sz w:val="20"/>
                <w:szCs w:val="20"/>
                <w:lang w:val="ro-RO" w:eastAsia="ro-RO"/>
              </w:rPr>
              <w:t>ă</w:t>
            </w:r>
            <w:r w:rsidR="004E05CB" w:rsidRPr="004E05CB">
              <w:rPr>
                <w:rFonts w:ascii="Times New Roman" w:hAnsi="Times New Roman" w:cs="Times New Roman"/>
                <w:bCs/>
                <w:sz w:val="20"/>
                <w:szCs w:val="20"/>
                <w:lang w:val="ro-RO" w:eastAsia="ro-RO"/>
              </w:rPr>
              <w:t xml:space="preserve"> și înlocuit</w:t>
            </w:r>
            <w:r w:rsidR="004E05CB">
              <w:rPr>
                <w:rFonts w:ascii="Times New Roman" w:hAnsi="Times New Roman" w:cs="Times New Roman"/>
                <w:bCs/>
                <w:sz w:val="20"/>
                <w:szCs w:val="20"/>
                <w:lang w:val="ro-RO" w:eastAsia="ro-RO"/>
              </w:rPr>
              <w:t>ă</w:t>
            </w:r>
            <w:r w:rsidR="004E05CB" w:rsidRPr="004E05CB">
              <w:rPr>
                <w:rFonts w:ascii="Times New Roman" w:hAnsi="Times New Roman" w:cs="Times New Roman"/>
                <w:bCs/>
                <w:sz w:val="20"/>
                <w:szCs w:val="20"/>
                <w:lang w:val="ro-RO" w:eastAsia="ro-RO"/>
              </w:rPr>
              <w:t xml:space="preserve"> prin Directiva 2014/65/UE (MiFID II)</w:t>
            </w:r>
            <w:r w:rsidR="004E05CB">
              <w:rPr>
                <w:rFonts w:ascii="Times New Roman" w:hAnsi="Times New Roman" w:cs="Times New Roman"/>
                <w:bCs/>
                <w:sz w:val="20"/>
                <w:szCs w:val="20"/>
                <w:lang w:val="ro-RO" w:eastAsia="ro-RO"/>
              </w:rPr>
              <w:t>, care se transpune prin acest proiect de lege.</w:t>
            </w:r>
          </w:p>
        </w:tc>
      </w:tr>
      <w:tr w:rsidR="00FD4B2E" w:rsidRPr="009B7C97" w14:paraId="3C7BE16A"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A5488" w14:textId="77777777" w:rsidR="00835833" w:rsidRPr="000925E9" w:rsidRDefault="00835833" w:rsidP="00835833">
            <w:pPr>
              <w:spacing w:after="0" w:line="240" w:lineRule="auto"/>
              <w:jc w:val="both"/>
              <w:rPr>
                <w:rFonts w:ascii="Times New Roman" w:hAnsi="Times New Roman" w:cs="Times New Roman"/>
                <w:b/>
                <w:sz w:val="20"/>
                <w:szCs w:val="20"/>
                <w:lang w:val="ro-RO" w:eastAsia="ro-RO"/>
              </w:rPr>
            </w:pPr>
            <w:r w:rsidRPr="000925E9">
              <w:rPr>
                <w:rFonts w:ascii="Times New Roman" w:hAnsi="Times New Roman" w:cs="Times New Roman"/>
                <w:b/>
                <w:sz w:val="20"/>
                <w:szCs w:val="20"/>
                <w:lang w:val="ro-RO" w:eastAsia="ro-RO"/>
              </w:rPr>
              <w:lastRenderedPageBreak/>
              <w:t>Articolul 76. Înfiinţarea sucursalelor pe teritoriul unui stat terţ</w:t>
            </w:r>
          </w:p>
          <w:p w14:paraId="44D9B3DB" w14:textId="77777777" w:rsidR="00835833" w:rsidRPr="000925E9" w:rsidRDefault="00835833" w:rsidP="00835833">
            <w:pPr>
              <w:spacing w:after="0" w:line="240" w:lineRule="auto"/>
              <w:jc w:val="both"/>
              <w:rPr>
                <w:rFonts w:ascii="Times New Roman" w:hAnsi="Times New Roman" w:cs="Times New Roman"/>
                <w:bCs/>
                <w:sz w:val="20"/>
                <w:szCs w:val="20"/>
                <w:lang w:val="ro-RO" w:eastAsia="ro-RO"/>
              </w:rPr>
            </w:pPr>
            <w:r w:rsidRPr="000925E9">
              <w:rPr>
                <w:rFonts w:ascii="Times New Roman" w:hAnsi="Times New Roman" w:cs="Times New Roman"/>
                <w:bCs/>
                <w:sz w:val="20"/>
                <w:szCs w:val="20"/>
                <w:lang w:val="ro-RO" w:eastAsia="ro-RO"/>
              </w:rPr>
              <w:t xml:space="preserve">(1) Firma de investiții poate presta serviciile şi/sau activităţile de investiţii, precum și serviciile auxiliare prevăzute în autorizația eliberată de CNPF într-o ţară terţă, prin înfiinţarea unei sucursale. Pentru scopurile prezentei legi, toate sediile înfiinţate pe teritoriul unei ţări terţe sunt considerate o singură sucursală. </w:t>
            </w:r>
          </w:p>
          <w:p w14:paraId="6ED5B937" w14:textId="77777777" w:rsidR="00835833" w:rsidRPr="000925E9" w:rsidRDefault="00835833" w:rsidP="00835833">
            <w:pPr>
              <w:spacing w:after="0" w:line="240" w:lineRule="auto"/>
              <w:jc w:val="both"/>
              <w:rPr>
                <w:rFonts w:ascii="Times New Roman" w:hAnsi="Times New Roman" w:cs="Times New Roman"/>
                <w:bCs/>
                <w:sz w:val="20"/>
                <w:szCs w:val="20"/>
                <w:lang w:val="ro-RO" w:eastAsia="ro-RO"/>
              </w:rPr>
            </w:pPr>
            <w:r w:rsidRPr="000925E9">
              <w:rPr>
                <w:rFonts w:ascii="Times New Roman" w:hAnsi="Times New Roman" w:cs="Times New Roman"/>
                <w:bCs/>
                <w:sz w:val="20"/>
                <w:szCs w:val="20"/>
                <w:lang w:val="ro-RO" w:eastAsia="ro-RO"/>
              </w:rPr>
              <w:t xml:space="preserve">(2) Înfiinţarea unei sucursale într-o ţară terţă este supusă aprobării prealabile a CNPF, conform actelor normative emise de aceasta. </w:t>
            </w:r>
          </w:p>
          <w:p w14:paraId="182F58F6" w14:textId="77777777" w:rsidR="00835833" w:rsidRPr="000925E9" w:rsidRDefault="00835833" w:rsidP="00835833">
            <w:pPr>
              <w:spacing w:after="0" w:line="240" w:lineRule="auto"/>
              <w:jc w:val="both"/>
              <w:rPr>
                <w:rFonts w:ascii="Times New Roman" w:hAnsi="Times New Roman" w:cs="Times New Roman"/>
                <w:bCs/>
                <w:sz w:val="20"/>
                <w:szCs w:val="20"/>
                <w:lang w:val="ro-RO" w:eastAsia="ro-RO"/>
              </w:rPr>
            </w:pPr>
            <w:r w:rsidRPr="000925E9">
              <w:rPr>
                <w:rFonts w:ascii="Times New Roman" w:hAnsi="Times New Roman" w:cs="Times New Roman"/>
                <w:bCs/>
                <w:sz w:val="20"/>
                <w:szCs w:val="20"/>
                <w:lang w:val="ro-RO" w:eastAsia="ro-RO"/>
              </w:rPr>
              <w:t xml:space="preserve">(3) CNPF poate respinge cererea de aprobare a înfiinţării sucursalei dacă, pe baza informaţiilor deţinute şi a documentaţiei prezentate de firma de investiții, consideră că: </w:t>
            </w:r>
          </w:p>
          <w:p w14:paraId="6B749115" w14:textId="77777777" w:rsidR="00835833" w:rsidRPr="000925E9" w:rsidRDefault="00835833" w:rsidP="00835833">
            <w:pPr>
              <w:spacing w:after="0" w:line="240" w:lineRule="auto"/>
              <w:jc w:val="both"/>
              <w:rPr>
                <w:rFonts w:ascii="Times New Roman" w:hAnsi="Times New Roman" w:cs="Times New Roman"/>
                <w:bCs/>
                <w:sz w:val="20"/>
                <w:szCs w:val="20"/>
                <w:lang w:val="ro-RO" w:eastAsia="ro-RO"/>
              </w:rPr>
            </w:pPr>
            <w:r w:rsidRPr="000925E9">
              <w:rPr>
                <w:rFonts w:ascii="Times New Roman" w:hAnsi="Times New Roman" w:cs="Times New Roman"/>
                <w:bCs/>
                <w:sz w:val="20"/>
                <w:szCs w:val="20"/>
                <w:lang w:val="ro-RO" w:eastAsia="ro-RO"/>
              </w:rPr>
              <w:t xml:space="preserve">a) firma de investiții nu dispune de un management adecvat sau de o situaţie financiară corespunzătoare, în raport cu activitatea propusă a fi desfăşurată prin intermediul sucursalei; </w:t>
            </w:r>
          </w:p>
          <w:p w14:paraId="71EEC9E9" w14:textId="77777777" w:rsidR="00835833" w:rsidRPr="000925E9" w:rsidRDefault="00835833" w:rsidP="00835833">
            <w:pPr>
              <w:spacing w:after="0" w:line="240" w:lineRule="auto"/>
              <w:jc w:val="both"/>
              <w:rPr>
                <w:rFonts w:ascii="Times New Roman" w:hAnsi="Times New Roman" w:cs="Times New Roman"/>
                <w:bCs/>
                <w:sz w:val="20"/>
                <w:szCs w:val="20"/>
                <w:lang w:val="ro-RO" w:eastAsia="ro-RO"/>
              </w:rPr>
            </w:pPr>
            <w:r w:rsidRPr="000925E9">
              <w:rPr>
                <w:rFonts w:ascii="Times New Roman" w:hAnsi="Times New Roman" w:cs="Times New Roman"/>
                <w:bCs/>
                <w:sz w:val="20"/>
                <w:szCs w:val="20"/>
                <w:lang w:val="ro-RO" w:eastAsia="ro-RO"/>
              </w:rPr>
              <w:t xml:space="preserve">b) cadrul normativ existent în ţara terţă şi/sau modul de aplicare a acestuia împiedică exercitarea de către CNPF a funcţiilor sale de supraveghere; </w:t>
            </w:r>
          </w:p>
          <w:p w14:paraId="70C4F670" w14:textId="77777777" w:rsidR="00835833" w:rsidRPr="000925E9" w:rsidRDefault="00835833" w:rsidP="00835833">
            <w:pPr>
              <w:spacing w:after="0" w:line="240" w:lineRule="auto"/>
              <w:jc w:val="both"/>
              <w:rPr>
                <w:rFonts w:ascii="Times New Roman" w:hAnsi="Times New Roman" w:cs="Times New Roman"/>
                <w:bCs/>
                <w:sz w:val="20"/>
                <w:szCs w:val="20"/>
                <w:lang w:val="ro-RO" w:eastAsia="ro-RO"/>
              </w:rPr>
            </w:pPr>
            <w:r w:rsidRPr="000925E9">
              <w:rPr>
                <w:rFonts w:ascii="Times New Roman" w:hAnsi="Times New Roman" w:cs="Times New Roman"/>
                <w:bCs/>
                <w:sz w:val="20"/>
                <w:szCs w:val="20"/>
                <w:lang w:val="ro-RO" w:eastAsia="ro-RO"/>
              </w:rPr>
              <w:lastRenderedPageBreak/>
              <w:t xml:space="preserve">c) firma de investiții nu îndeplineşte cerinţele prevăzute de prezenta lege sau de actele normative emise pentru executarea acesteia. </w:t>
            </w:r>
          </w:p>
          <w:p w14:paraId="4F2F1E33" w14:textId="77777777" w:rsidR="00FD4B2E" w:rsidRPr="000925E9" w:rsidRDefault="00835833" w:rsidP="00835833">
            <w:pPr>
              <w:spacing w:after="0" w:line="240" w:lineRule="auto"/>
              <w:jc w:val="both"/>
              <w:rPr>
                <w:rFonts w:ascii="Times New Roman" w:hAnsi="Times New Roman" w:cs="Times New Roman"/>
                <w:b/>
                <w:sz w:val="20"/>
                <w:szCs w:val="20"/>
                <w:lang w:val="ro-RO" w:eastAsia="ro-RO"/>
              </w:rPr>
            </w:pPr>
            <w:r w:rsidRPr="000925E9">
              <w:rPr>
                <w:rFonts w:ascii="Times New Roman" w:hAnsi="Times New Roman" w:cs="Times New Roman"/>
                <w:bCs/>
                <w:sz w:val="20"/>
                <w:szCs w:val="20"/>
                <w:lang w:val="ro-RO" w:eastAsia="ro-RO"/>
              </w:rPr>
              <w:t>(4) Orice modificare a elementelor examinate de CNPF la aprobarea înfiinţării sucursalei este supusă aprobării prealabile a CNPF.</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A65993" w14:textId="77777777" w:rsidR="00FD4B2E" w:rsidRPr="000925E9" w:rsidRDefault="00DF09F2" w:rsidP="007B175E">
            <w:pPr>
              <w:spacing w:after="0" w:line="240" w:lineRule="auto"/>
              <w:rPr>
                <w:rFonts w:ascii="Times New Roman" w:eastAsia="Times New Roman" w:hAnsi="Times New Roman" w:cs="Times New Roman"/>
                <w:b/>
                <w:bCs/>
                <w:sz w:val="20"/>
                <w:szCs w:val="20"/>
                <w:lang w:eastAsia="ro-RO"/>
              </w:rPr>
            </w:pPr>
            <w:r w:rsidRPr="000925E9">
              <w:rPr>
                <w:rFonts w:ascii="Times New Roman" w:eastAsia="Times New Roman" w:hAnsi="Times New Roman" w:cs="Times New Roman"/>
                <w:b/>
                <w:bCs/>
                <w:sz w:val="20"/>
                <w:szCs w:val="20"/>
                <w:lang w:eastAsia="ro-RO"/>
              </w:rPr>
              <w:lastRenderedPageBreak/>
              <w:t>Ministerul Justiției</w:t>
            </w:r>
          </w:p>
          <w:p w14:paraId="51C74E71" w14:textId="77777777" w:rsidR="00263797" w:rsidRPr="000925E9" w:rsidRDefault="00263797" w:rsidP="007B175E">
            <w:pPr>
              <w:spacing w:after="0" w:line="240" w:lineRule="auto"/>
              <w:rPr>
                <w:rFonts w:ascii="Times New Roman" w:eastAsia="Times New Roman" w:hAnsi="Times New Roman" w:cs="Times New Roman"/>
                <w:b/>
                <w:bCs/>
                <w:sz w:val="20"/>
                <w:szCs w:val="20"/>
                <w:lang w:eastAsia="ro-RO"/>
              </w:rPr>
            </w:pPr>
            <w:r w:rsidRPr="000925E9">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619306C" w14:textId="77777777" w:rsidR="00FD4B2E" w:rsidRPr="000925E9" w:rsidRDefault="005313AD" w:rsidP="00CE1798">
            <w:pPr>
              <w:spacing w:after="0" w:line="240" w:lineRule="auto"/>
              <w:jc w:val="center"/>
              <w:rPr>
                <w:rFonts w:ascii="Times New Roman" w:eastAsia="Times New Roman" w:hAnsi="Times New Roman" w:cs="Times New Roman"/>
                <w:b/>
                <w:bCs/>
                <w:sz w:val="20"/>
                <w:szCs w:val="20"/>
                <w:lang w:eastAsia="ro-RO"/>
              </w:rPr>
            </w:pPr>
            <w:r w:rsidRPr="000925E9">
              <w:rPr>
                <w:rFonts w:ascii="Times New Roman" w:eastAsia="Times New Roman" w:hAnsi="Times New Roman" w:cs="Times New Roman"/>
                <w:b/>
                <w:bCs/>
                <w:sz w:val="20"/>
                <w:szCs w:val="20"/>
                <w:lang w:eastAsia="ro-RO"/>
              </w:rPr>
              <w:t>21</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63843C" w14:textId="77777777" w:rsidR="00FD4B2E" w:rsidRPr="000925E9" w:rsidRDefault="00FD4B2E" w:rsidP="007B175E">
            <w:pPr>
              <w:spacing w:after="0" w:line="240" w:lineRule="auto"/>
              <w:jc w:val="both"/>
              <w:rPr>
                <w:rFonts w:ascii="Times New Roman" w:hAnsi="Times New Roman" w:cs="Times New Roman"/>
                <w:sz w:val="20"/>
                <w:szCs w:val="20"/>
                <w:lang w:eastAsia="ro-RO"/>
              </w:rPr>
            </w:pPr>
            <w:r w:rsidRPr="000925E9">
              <w:rPr>
                <w:rFonts w:ascii="Times New Roman" w:hAnsi="Times New Roman" w:cs="Times New Roman"/>
                <w:sz w:val="20"/>
                <w:szCs w:val="20"/>
                <w:lang w:eastAsia="ro-RO"/>
              </w:rPr>
              <w:t>Cu referire la art.76 din proiect,</w:t>
            </w:r>
            <w:r w:rsidR="008F2120" w:rsidRPr="000925E9">
              <w:rPr>
                <w:rFonts w:ascii="Times New Roman" w:hAnsi="Times New Roman" w:cs="Times New Roman"/>
                <w:sz w:val="20"/>
                <w:szCs w:val="20"/>
                <w:lang w:eastAsia="ro-RO"/>
              </w:rPr>
              <w:t xml:space="preserve"> se instituie un regim de autorizare prealabilă de către CNPF pentru  înființarea sucursalelor firmelor de investiții în state terțe, însă criteriile de respingere a cererii prevăzute la alin.(3) sunt formulate într-un mod general și insuficient determinat, conferind autorității de supraveghere o marjă largă de apreciere care nu este însoțită de repere normative clare și previzibile.</w:t>
            </w:r>
          </w:p>
          <w:p w14:paraId="57D4EC4E" w14:textId="77777777" w:rsidR="008F2120" w:rsidRPr="000925E9" w:rsidRDefault="008F2120" w:rsidP="007B175E">
            <w:pPr>
              <w:spacing w:after="0" w:line="240" w:lineRule="auto"/>
              <w:jc w:val="both"/>
              <w:rPr>
                <w:rFonts w:ascii="Times New Roman" w:hAnsi="Times New Roman" w:cs="Times New Roman"/>
                <w:sz w:val="20"/>
                <w:szCs w:val="20"/>
                <w:lang w:eastAsia="ro-RO"/>
              </w:rPr>
            </w:pPr>
            <w:r w:rsidRPr="000925E9">
              <w:rPr>
                <w:rFonts w:ascii="Times New Roman" w:hAnsi="Times New Roman" w:cs="Times New Roman"/>
                <w:sz w:val="20"/>
                <w:szCs w:val="20"/>
                <w:lang w:eastAsia="ro-RO"/>
              </w:rPr>
              <w:t>În special, termenii precum „management adecvat”, „situație financiară corespunzătoare” sau aprecierea privind existența unor impedimente determinate de „cadrul normativ existent în țara terță</w:t>
            </w:r>
            <w:r w:rsidR="008829B4" w:rsidRPr="000925E9">
              <w:rPr>
                <w:rFonts w:ascii="Times New Roman" w:hAnsi="Times New Roman" w:cs="Times New Roman"/>
                <w:sz w:val="20"/>
                <w:szCs w:val="20"/>
                <w:lang w:eastAsia="ro-RO"/>
              </w:rPr>
              <w:t>” ori de „modul de aplicare a acestuia” nu sunt definite și nu sunt însoțite de criterii obiective sau indicatori minim necesari pentru a ghida exercitarea puterii de apreciere a autorității. În lipsa unor standarde clare de evaluare, aceste dispoziții riscă să genereze o aplicare neuniformă și imprevizibilă a legii, afectând securitatea juridică a solicitanților și controlul efectiv asupra deciziilor administrative de respingere. Totodată, formularea deschisă a motivelor de refuz poate conduce la o discreție administrativă excesivă a CNPF, dificil de contestat în mod efectiv, întrucât nu sunt  stabilite praguri sau criterii verificabile care să permită delimitarea între conformitate și neconformitate. În acest context, prevederile propuse necesită o detaliere suplimentară a criteriilor de evaluare sau trimiterea la standarde tehnice clare, în vederea asigurării previzibilității, proporționalității și controlabilității deciziilor autorității de supraveghere.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A4594" w14:textId="77777777" w:rsidR="00FD4B2E" w:rsidRDefault="00626E19" w:rsidP="007B175E">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Se acceptă parțial</w:t>
            </w:r>
          </w:p>
          <w:p w14:paraId="53CBFF0E" w14:textId="77777777" w:rsidR="00626E19" w:rsidRDefault="00626E19" w:rsidP="007B175E">
            <w:pPr>
              <w:spacing w:after="0" w:line="240" w:lineRule="auto"/>
              <w:jc w:val="both"/>
              <w:rPr>
                <w:rFonts w:ascii="Times New Roman" w:hAnsi="Times New Roman" w:cs="Times New Roman"/>
                <w:bCs/>
                <w:sz w:val="20"/>
                <w:szCs w:val="20"/>
                <w:lang w:val="ro-RO" w:eastAsia="ro-RO"/>
              </w:rPr>
            </w:pPr>
            <w:r w:rsidRPr="00626E19">
              <w:rPr>
                <w:rFonts w:ascii="Times New Roman" w:hAnsi="Times New Roman" w:cs="Times New Roman"/>
                <w:bCs/>
                <w:sz w:val="20"/>
                <w:szCs w:val="20"/>
                <w:lang w:val="ro-RO" w:eastAsia="ro-RO"/>
              </w:rPr>
              <w:t xml:space="preserve">Ca urmare a observației, </w:t>
            </w:r>
            <w:r>
              <w:rPr>
                <w:rFonts w:ascii="Times New Roman" w:hAnsi="Times New Roman" w:cs="Times New Roman"/>
                <w:bCs/>
                <w:sz w:val="20"/>
                <w:szCs w:val="20"/>
                <w:lang w:val="ro-RO" w:eastAsia="ro-RO"/>
              </w:rPr>
              <w:t>formularea „CNPF poate respinge”</w:t>
            </w:r>
            <w:r w:rsidRPr="00626E19">
              <w:rPr>
                <w:rFonts w:ascii="Times New Roman" w:hAnsi="Times New Roman" w:cs="Times New Roman"/>
                <w:bCs/>
                <w:sz w:val="20"/>
                <w:szCs w:val="20"/>
                <w:lang w:val="ro-RO" w:eastAsia="ro-RO"/>
              </w:rPr>
              <w:t xml:space="preserve"> </w:t>
            </w:r>
            <w:r>
              <w:rPr>
                <w:rFonts w:ascii="Times New Roman" w:hAnsi="Times New Roman" w:cs="Times New Roman"/>
                <w:bCs/>
                <w:sz w:val="20"/>
                <w:szCs w:val="20"/>
                <w:lang w:val="ro-RO" w:eastAsia="ro-RO"/>
              </w:rPr>
              <w:t>a fost înlocuită cu „CNPF respinge”.</w:t>
            </w:r>
          </w:p>
          <w:p w14:paraId="54049014" w14:textId="77777777" w:rsidR="009D77AA" w:rsidRDefault="009D77AA" w:rsidP="007B175E">
            <w:pPr>
              <w:spacing w:after="0" w:line="240" w:lineRule="auto"/>
              <w:jc w:val="both"/>
              <w:rPr>
                <w:rFonts w:ascii="Times New Roman" w:hAnsi="Times New Roman" w:cs="Times New Roman"/>
                <w:bCs/>
                <w:sz w:val="20"/>
                <w:szCs w:val="20"/>
                <w:lang w:val="ro-RO" w:eastAsia="ro-RO"/>
              </w:rPr>
            </w:pPr>
            <w:r w:rsidRPr="009D77AA">
              <w:rPr>
                <w:rFonts w:ascii="Times New Roman" w:hAnsi="Times New Roman" w:cs="Times New Roman"/>
                <w:bCs/>
                <w:sz w:val="20"/>
                <w:szCs w:val="20"/>
                <w:lang w:val="ro-RO" w:eastAsia="ro-RO"/>
              </w:rPr>
              <w:t>Înființarea de către o firmă de investiții din Republica Moldova a unei sucursale pe teritoriul unei țări terțe nu face obiectul Directivei 2014/65/UE: aceasta reglementează regimul de pașaport în interiorul Uniunii (art.34-35) și accesul societăților din țări terțe pe teritoriul Uniunii (art.39-43, art.46-47), fără a conține dispoziții privind stabilirea de sucursale de către firmele proprii în afara Uniunii.</w:t>
            </w:r>
          </w:p>
          <w:p w14:paraId="4E1840DB" w14:textId="77777777" w:rsidR="007C1515" w:rsidRDefault="007C1515" w:rsidP="007B175E">
            <w:pPr>
              <w:spacing w:after="0" w:line="240" w:lineRule="auto"/>
              <w:jc w:val="both"/>
              <w:rPr>
                <w:rFonts w:ascii="Times New Roman" w:hAnsi="Times New Roman" w:cs="Times New Roman"/>
                <w:bCs/>
                <w:sz w:val="20"/>
                <w:szCs w:val="20"/>
                <w:lang w:val="ro-RO" w:eastAsia="ro-RO"/>
              </w:rPr>
            </w:pPr>
            <w:r w:rsidRPr="007C1515">
              <w:rPr>
                <w:rFonts w:ascii="Times New Roman" w:hAnsi="Times New Roman" w:cs="Times New Roman"/>
                <w:bCs/>
                <w:sz w:val="20"/>
                <w:szCs w:val="20"/>
                <w:lang w:val="ro-RO" w:eastAsia="ro-RO"/>
              </w:rPr>
              <w:t>Sintagmele „management adecvat</w:t>
            </w:r>
            <w:r>
              <w:rPr>
                <w:rFonts w:ascii="Times New Roman" w:hAnsi="Times New Roman" w:cs="Times New Roman"/>
                <w:bCs/>
                <w:sz w:val="20"/>
                <w:szCs w:val="20"/>
                <w:lang w:val="ro-RO" w:eastAsia="ro-RO"/>
              </w:rPr>
              <w:t>”</w:t>
            </w:r>
            <w:r w:rsidRPr="007C1515">
              <w:rPr>
                <w:rFonts w:ascii="Times New Roman" w:hAnsi="Times New Roman" w:cs="Times New Roman"/>
                <w:bCs/>
                <w:sz w:val="20"/>
                <w:szCs w:val="20"/>
                <w:lang w:val="ro-RO" w:eastAsia="ro-RO"/>
              </w:rPr>
              <w:t xml:space="preserve"> și „situație financiară corespunzătoare</w:t>
            </w:r>
            <w:r>
              <w:rPr>
                <w:rFonts w:ascii="Times New Roman" w:hAnsi="Times New Roman" w:cs="Times New Roman"/>
                <w:bCs/>
                <w:sz w:val="20"/>
                <w:szCs w:val="20"/>
                <w:lang w:val="ro-RO" w:eastAsia="ro-RO"/>
              </w:rPr>
              <w:t>”</w:t>
            </w:r>
            <w:r w:rsidRPr="007C1515">
              <w:rPr>
                <w:rFonts w:ascii="Times New Roman" w:hAnsi="Times New Roman" w:cs="Times New Roman"/>
                <w:bCs/>
                <w:sz w:val="20"/>
                <w:szCs w:val="20"/>
                <w:lang w:val="ro-RO" w:eastAsia="ro-RO"/>
              </w:rPr>
              <w:t xml:space="preserve"> (alin.(3) lit.a)) exprimă standardul „administrării corecte și prudente</w:t>
            </w:r>
            <w:r>
              <w:rPr>
                <w:rFonts w:ascii="Times New Roman" w:hAnsi="Times New Roman" w:cs="Times New Roman"/>
                <w:bCs/>
                <w:sz w:val="20"/>
                <w:szCs w:val="20"/>
                <w:lang w:val="ro-RO" w:eastAsia="ro-RO"/>
              </w:rPr>
              <w:t>”</w:t>
            </w:r>
            <w:r w:rsidRPr="007C1515">
              <w:rPr>
                <w:rFonts w:ascii="Times New Roman" w:hAnsi="Times New Roman" w:cs="Times New Roman"/>
                <w:bCs/>
                <w:sz w:val="20"/>
                <w:szCs w:val="20"/>
                <w:lang w:val="ro-RO" w:eastAsia="ro-RO"/>
              </w:rPr>
              <w:t xml:space="preserve"> și, respectiv, al solidității financiare </w:t>
            </w:r>
            <w:r>
              <w:rPr>
                <w:rFonts w:ascii="Times New Roman" w:hAnsi="Times New Roman" w:cs="Times New Roman"/>
                <w:bCs/>
                <w:sz w:val="20"/>
                <w:szCs w:val="20"/>
                <w:lang w:val="ro-RO" w:eastAsia="ro-RO"/>
              </w:rPr>
              <w:t xml:space="preserve">– </w:t>
            </w:r>
            <w:r w:rsidRPr="007C1515">
              <w:rPr>
                <w:rFonts w:ascii="Times New Roman" w:hAnsi="Times New Roman" w:cs="Times New Roman"/>
                <w:bCs/>
                <w:sz w:val="20"/>
                <w:szCs w:val="20"/>
                <w:lang w:val="ro-RO" w:eastAsia="ro-RO"/>
              </w:rPr>
              <w:t xml:space="preserve">concepte utilizate constant în acquis-ul Uniunii și în proiect (de exemplu, art.20 </w:t>
            </w:r>
            <w:r>
              <w:rPr>
                <w:rFonts w:ascii="Times New Roman" w:hAnsi="Times New Roman" w:cs="Times New Roman"/>
                <w:bCs/>
                <w:sz w:val="20"/>
                <w:szCs w:val="20"/>
                <w:lang w:val="ro-RO" w:eastAsia="ro-RO"/>
              </w:rPr>
              <w:t>-</w:t>
            </w:r>
            <w:r w:rsidRPr="007C1515">
              <w:rPr>
                <w:rFonts w:ascii="Times New Roman" w:hAnsi="Times New Roman" w:cs="Times New Roman"/>
                <w:bCs/>
                <w:sz w:val="20"/>
                <w:szCs w:val="20"/>
                <w:lang w:val="ro-RO" w:eastAsia="ro-RO"/>
              </w:rPr>
              <w:t xml:space="preserve"> adecvarea organului de conducere; art.28 alin.(1) lit.c) </w:t>
            </w:r>
            <w:r>
              <w:rPr>
                <w:rFonts w:ascii="Times New Roman" w:hAnsi="Times New Roman" w:cs="Times New Roman"/>
                <w:bCs/>
                <w:sz w:val="20"/>
                <w:szCs w:val="20"/>
                <w:lang w:val="ro-RO" w:eastAsia="ro-RO"/>
              </w:rPr>
              <w:t xml:space="preserve">- </w:t>
            </w:r>
            <w:r w:rsidRPr="007C1515">
              <w:rPr>
                <w:rFonts w:ascii="Times New Roman" w:hAnsi="Times New Roman" w:cs="Times New Roman"/>
                <w:bCs/>
                <w:sz w:val="20"/>
                <w:szCs w:val="20"/>
                <w:lang w:val="ro-RO" w:eastAsia="ro-RO"/>
              </w:rPr>
              <w:t>soliditatea financiară) și în legislația națională (Legea nr.202/2017 privind activitatea băncilor</w:t>
            </w:r>
            <w:r>
              <w:rPr>
                <w:rFonts w:ascii="Times New Roman" w:hAnsi="Times New Roman" w:cs="Times New Roman"/>
                <w:bCs/>
                <w:sz w:val="20"/>
                <w:szCs w:val="20"/>
                <w:lang w:val="ro-RO" w:eastAsia="ro-RO"/>
              </w:rPr>
              <w:t xml:space="preserve"> (art.33 alin.(1))</w:t>
            </w:r>
            <w:r w:rsidRPr="007C1515">
              <w:rPr>
                <w:rFonts w:ascii="Times New Roman" w:hAnsi="Times New Roman" w:cs="Times New Roman"/>
                <w:bCs/>
                <w:sz w:val="20"/>
                <w:szCs w:val="20"/>
                <w:lang w:val="ro-RO" w:eastAsia="ro-RO"/>
              </w:rPr>
              <w:t xml:space="preserve"> și actele normative ale BNM). Criteriul de la alin.(3) lit.b) </w:t>
            </w:r>
            <w:r>
              <w:rPr>
                <w:rFonts w:ascii="Times New Roman" w:hAnsi="Times New Roman" w:cs="Times New Roman"/>
                <w:bCs/>
                <w:sz w:val="20"/>
                <w:szCs w:val="20"/>
                <w:lang w:val="ro-RO" w:eastAsia="ro-RO"/>
              </w:rPr>
              <w:t xml:space="preserve">– </w:t>
            </w:r>
            <w:r w:rsidRPr="007C1515">
              <w:rPr>
                <w:rFonts w:ascii="Times New Roman" w:hAnsi="Times New Roman" w:cs="Times New Roman"/>
                <w:bCs/>
                <w:sz w:val="20"/>
                <w:szCs w:val="20"/>
                <w:lang w:val="ro-RO" w:eastAsia="ro-RO"/>
              </w:rPr>
              <w:t xml:space="preserve">împiedicarea exercitării funcțiilor de supraveghere prin cadrul </w:t>
            </w:r>
            <w:r w:rsidRPr="007C1515">
              <w:rPr>
                <w:rFonts w:ascii="Times New Roman" w:hAnsi="Times New Roman" w:cs="Times New Roman"/>
                <w:bCs/>
                <w:sz w:val="20"/>
                <w:szCs w:val="20"/>
                <w:lang w:val="ro-RO" w:eastAsia="ro-RO"/>
              </w:rPr>
              <w:lastRenderedPageBreak/>
              <w:t xml:space="preserve">normativ ori modul de aplicare a acestuia în țara terță </w:t>
            </w:r>
            <w:r w:rsidR="00B763FA">
              <w:rPr>
                <w:rFonts w:ascii="Times New Roman" w:hAnsi="Times New Roman" w:cs="Times New Roman"/>
                <w:bCs/>
                <w:sz w:val="20"/>
                <w:szCs w:val="20"/>
                <w:lang w:val="ro-RO" w:eastAsia="ro-RO"/>
              </w:rPr>
              <w:t>-</w:t>
            </w:r>
            <w:r w:rsidRPr="007C1515">
              <w:rPr>
                <w:rFonts w:ascii="Times New Roman" w:hAnsi="Times New Roman" w:cs="Times New Roman"/>
                <w:bCs/>
                <w:sz w:val="20"/>
                <w:szCs w:val="20"/>
                <w:lang w:val="ro-RO" w:eastAsia="ro-RO"/>
              </w:rPr>
              <w:t xml:space="preserve"> este același criteriu de „supravegheabilitate" deja consacrat în proiect la art.15 alin.(1) lit.f) și g) (care transpun art.10 din Directiva 2014/65/UE)</w:t>
            </w:r>
            <w:r w:rsidR="00B763FA">
              <w:rPr>
                <w:rFonts w:ascii="Times New Roman" w:hAnsi="Times New Roman" w:cs="Times New Roman"/>
                <w:bCs/>
                <w:sz w:val="20"/>
                <w:szCs w:val="20"/>
                <w:lang w:val="ro-RO" w:eastAsia="ro-RO"/>
              </w:rPr>
              <w:t>.</w:t>
            </w:r>
          </w:p>
          <w:p w14:paraId="137CF97D" w14:textId="77777777" w:rsidR="00F51356" w:rsidRPr="00B763FA" w:rsidRDefault="00B763FA" w:rsidP="00F51356">
            <w:pPr>
              <w:spacing w:after="0" w:line="240" w:lineRule="auto"/>
              <w:jc w:val="both"/>
              <w:rPr>
                <w:rFonts w:ascii="Times New Roman" w:hAnsi="Times New Roman" w:cs="Times New Roman"/>
                <w:bCs/>
                <w:sz w:val="20"/>
                <w:szCs w:val="20"/>
                <w:lang w:val="ro-RO" w:eastAsia="ro-RO"/>
              </w:rPr>
            </w:pPr>
            <w:r w:rsidRPr="00B763FA">
              <w:rPr>
                <w:rFonts w:ascii="Times New Roman" w:hAnsi="Times New Roman" w:cs="Times New Roman"/>
                <w:bCs/>
                <w:sz w:val="20"/>
                <w:szCs w:val="20"/>
                <w:lang w:val="ro-RO" w:eastAsia="ro-RO"/>
              </w:rPr>
              <w:t>Evaluarea se realizează exclusiv „pe baza informațiilor deținute și a documentației prezentate</w:t>
            </w:r>
            <w:r>
              <w:rPr>
                <w:rFonts w:ascii="Times New Roman" w:hAnsi="Times New Roman" w:cs="Times New Roman"/>
                <w:bCs/>
                <w:sz w:val="20"/>
                <w:szCs w:val="20"/>
                <w:lang w:val="ro-RO" w:eastAsia="ro-RO"/>
              </w:rPr>
              <w:t>”</w:t>
            </w:r>
            <w:r w:rsidRPr="00B763FA">
              <w:rPr>
                <w:rFonts w:ascii="Times New Roman" w:hAnsi="Times New Roman" w:cs="Times New Roman"/>
                <w:bCs/>
                <w:sz w:val="20"/>
                <w:szCs w:val="20"/>
                <w:lang w:val="ro-RO" w:eastAsia="ro-RO"/>
              </w:rPr>
              <w:t>, deci pe elemente probatorii verificabile; documentația și condițiile concrete ale procedurii se stabilesc prin actele normative ale CNPF (alin.(2)); iar decizia de respingere este un act administrativ supus, potrivit Codului administrativ, obligației de motivare și controlului judecătoresc, dreptul de apreciere exercitându-se în limitele și potrivit scopului legii. Aceste garanții asigură previzibilitatea, proporționalitatea și controlabilitatea solicitate, fără a impune o detaliere în legea primară care ar fi improprie naturii evaluării prudențiale.</w:t>
            </w:r>
            <w:r w:rsidR="00F51356" w:rsidRPr="00A55A88">
              <w:rPr>
                <w:rFonts w:ascii="Times New Roman" w:hAnsi="Times New Roman" w:cs="Times New Roman"/>
                <w:bCs/>
                <w:sz w:val="20"/>
                <w:szCs w:val="20"/>
                <w:lang w:val="ro-RO" w:eastAsia="ro-RO"/>
              </w:rPr>
              <w:t xml:space="preserve"> </w:t>
            </w:r>
          </w:p>
        </w:tc>
      </w:tr>
      <w:tr w:rsidR="008829B4" w:rsidRPr="009B7C97" w14:paraId="669706D3"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37167" w14:textId="77777777" w:rsidR="008829B4" w:rsidRDefault="00835833" w:rsidP="007B175E">
            <w:pPr>
              <w:spacing w:after="0" w:line="240" w:lineRule="auto"/>
              <w:jc w:val="both"/>
              <w:rPr>
                <w:rFonts w:ascii="Times New Roman" w:hAnsi="Times New Roman" w:cs="Times New Roman"/>
                <w:b/>
                <w:sz w:val="20"/>
                <w:szCs w:val="20"/>
                <w:lang w:val="ro-RO" w:eastAsia="ro-RO"/>
              </w:rPr>
            </w:pPr>
            <w:r w:rsidRPr="00835833">
              <w:rPr>
                <w:rFonts w:ascii="Times New Roman" w:hAnsi="Times New Roman" w:cs="Times New Roman"/>
                <w:b/>
                <w:sz w:val="20"/>
                <w:szCs w:val="20"/>
                <w:lang w:val="ro-RO" w:eastAsia="ro-RO"/>
              </w:rPr>
              <w:lastRenderedPageBreak/>
              <w:t>Articolul 78. Autorizarea ca piață reglementată</w:t>
            </w:r>
          </w:p>
          <w:p w14:paraId="08A26AB7" w14:textId="77777777" w:rsidR="00835833" w:rsidRPr="00835833" w:rsidRDefault="00835833" w:rsidP="007B175E">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(3) CNPF acordă autorizația de piață reglementată numai dacă este pe deplin convinsă că atât operatorul, cât şi sistemele pieţei reglementate satisfac cel puţin cerinţele prevăzute în dispoziţiile prezentei legi și ale actelor normative emise în aplicarea acesteia.</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9E4B057" w14:textId="77777777" w:rsidR="008829B4"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354DECD9"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9840240" w14:textId="77777777" w:rsidR="008829B4"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22</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6F451" w14:textId="77777777" w:rsidR="008829B4" w:rsidRPr="00B34D1B" w:rsidRDefault="008829B4" w:rsidP="007B175E">
            <w:pPr>
              <w:spacing w:after="0" w:line="240" w:lineRule="auto"/>
              <w:jc w:val="both"/>
              <w:rPr>
                <w:rFonts w:ascii="Times New Roman" w:hAnsi="Times New Roman" w:cs="Times New Roman"/>
                <w:sz w:val="20"/>
                <w:szCs w:val="20"/>
                <w:lang w:eastAsia="ro-RO"/>
              </w:rPr>
            </w:pPr>
            <w:r w:rsidRPr="00B34D1B">
              <w:rPr>
                <w:rFonts w:ascii="Times New Roman" w:hAnsi="Times New Roman" w:cs="Times New Roman"/>
                <w:sz w:val="20"/>
                <w:szCs w:val="20"/>
                <w:lang w:eastAsia="ro-RO"/>
              </w:rPr>
              <w:t>La fel, prevederile art.78 alin.(3) utilizează un standard de apreciere insuficient determinat, stabilind că autoritatea competentă acordă autorizația de piață reglementată „numai dacă este pe deplin convinsă” că operatorul și sistemele pieței reglementate îndeplinesc cerințele legale. Această formulare introduce un criteriu subiectiv de evaluare, lipsit de repere normative obiective și verificabile, care transformă analiza conformității legale într-o apreciere discreționară a autorității. În absența unor indicatori sau criterii clare de evaluare a condițiilor de autorizare, textul reduce gradul de previzibilitate al normei și afectează securitatea juridică a solicitanților, întrucât nu permite</w:t>
            </w:r>
            <w:r w:rsidR="008A5709" w:rsidRPr="00B34D1B">
              <w:rPr>
                <w:rFonts w:ascii="Times New Roman" w:hAnsi="Times New Roman" w:cs="Times New Roman"/>
                <w:sz w:val="20"/>
                <w:szCs w:val="20"/>
                <w:lang w:eastAsia="ro-RO"/>
              </w:rPr>
              <w:t xml:space="preserve"> determinarea ex ante a condițiilor exacte în care autorizația poate fi acordată sau refuzată. Totodată, utilizarea unei formulări bazate pe convingerea autorității, în speță CNPF, în locul unui standard obiectiv de conformitate cu cerințele legale, poate conduce la dificultăți în controlul jurisdicțional al deciziilor de autorizare, întrucât motivele refuzului riscă să fie dificil de verificat în mod </w:t>
            </w:r>
            <w:r w:rsidR="008A5709" w:rsidRPr="00B34D1B">
              <w:rPr>
                <w:rFonts w:ascii="Times New Roman" w:hAnsi="Times New Roman" w:cs="Times New Roman"/>
                <w:sz w:val="20"/>
                <w:szCs w:val="20"/>
                <w:lang w:eastAsia="ro-RO"/>
              </w:rPr>
              <w:lastRenderedPageBreak/>
              <w:t>efectiv. În acest context, se recomandă înlocuirea expresiei cu un standard juridic obiectiv, bazat exclusiv pe îndeplinirea condițiilor prevăzute expres de lege și de actele normative subsecvente.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7A191" w14:textId="77777777" w:rsidR="008829B4" w:rsidRPr="00B34D1B" w:rsidRDefault="00F51356" w:rsidP="007B175E">
            <w:pPr>
              <w:spacing w:after="0" w:line="240" w:lineRule="auto"/>
              <w:jc w:val="both"/>
              <w:rPr>
                <w:rFonts w:ascii="Times New Roman" w:hAnsi="Times New Roman" w:cs="Times New Roman"/>
                <w:b/>
                <w:sz w:val="20"/>
                <w:szCs w:val="20"/>
                <w:lang w:val="ro-RO" w:eastAsia="ro-RO"/>
              </w:rPr>
            </w:pPr>
            <w:r w:rsidRPr="00B34D1B">
              <w:rPr>
                <w:rFonts w:ascii="Times New Roman" w:hAnsi="Times New Roman" w:cs="Times New Roman"/>
                <w:b/>
                <w:sz w:val="20"/>
                <w:szCs w:val="20"/>
                <w:lang w:val="ro-RO" w:eastAsia="ro-RO"/>
              </w:rPr>
              <w:lastRenderedPageBreak/>
              <w:t>Nu se acceptă</w:t>
            </w:r>
          </w:p>
          <w:p w14:paraId="132DFEDC" w14:textId="77777777" w:rsidR="00F51356" w:rsidRPr="00B34D1B" w:rsidRDefault="00F51356" w:rsidP="007B175E">
            <w:pPr>
              <w:spacing w:after="0" w:line="240" w:lineRule="auto"/>
              <w:jc w:val="both"/>
              <w:rPr>
                <w:rFonts w:ascii="Times New Roman" w:hAnsi="Times New Roman" w:cs="Times New Roman"/>
                <w:bCs/>
                <w:sz w:val="20"/>
                <w:szCs w:val="20"/>
                <w:lang w:val="ro-RO" w:eastAsia="ro-RO"/>
              </w:rPr>
            </w:pPr>
            <w:r w:rsidRPr="00B34D1B">
              <w:rPr>
                <w:rFonts w:ascii="Times New Roman" w:hAnsi="Times New Roman" w:cs="Times New Roman"/>
                <w:bCs/>
                <w:sz w:val="20"/>
                <w:szCs w:val="20"/>
                <w:lang w:val="ro-RO" w:eastAsia="ro-RO"/>
              </w:rPr>
              <w:t xml:space="preserve">Sintagma </w:t>
            </w:r>
            <w:r w:rsidR="00936038" w:rsidRPr="00B34D1B">
              <w:rPr>
                <w:rFonts w:ascii="Times New Roman" w:hAnsi="Times New Roman" w:cs="Times New Roman"/>
                <w:bCs/>
                <w:sz w:val="20"/>
                <w:szCs w:val="20"/>
                <w:lang w:val="ro-RO" w:eastAsia="ro-RO"/>
              </w:rPr>
              <w:t>„</w:t>
            </w:r>
            <w:r w:rsidRPr="00B34D1B">
              <w:rPr>
                <w:rFonts w:ascii="Times New Roman" w:hAnsi="Times New Roman" w:cs="Times New Roman"/>
                <w:bCs/>
                <w:sz w:val="20"/>
                <w:szCs w:val="20"/>
                <w:lang w:val="ro-RO" w:eastAsia="ro-RO"/>
              </w:rPr>
              <w:t xml:space="preserve">pe deplin convinsă” este preluată fidel din art.44 alin.(1) al Directivei 2014/65/UE, asigurând conformitatea terminologică deplină cu actul european de referință. </w:t>
            </w:r>
            <w:r w:rsidR="00B34D1B" w:rsidRPr="00B34D1B">
              <w:rPr>
                <w:rFonts w:ascii="Times New Roman" w:hAnsi="Times New Roman" w:cs="Times New Roman"/>
                <w:bCs/>
                <w:sz w:val="20"/>
                <w:szCs w:val="20"/>
                <w:lang w:val="ro-RO" w:eastAsia="ro-RO"/>
              </w:rPr>
              <w:t xml:space="preserve">Totodată, reiterăm argumentele prevăzute la pct.11 </w:t>
            </w:r>
            <w:r w:rsidR="00B34D1B" w:rsidRPr="00B34D1B">
              <w:rPr>
                <w:rFonts w:ascii="Times New Roman" w:hAnsi="Times New Roman" w:cs="Times New Roman"/>
                <w:bCs/>
                <w:i/>
                <w:iCs/>
                <w:sz w:val="20"/>
                <w:szCs w:val="20"/>
                <w:lang w:val="ro-RO" w:eastAsia="ro-RO"/>
              </w:rPr>
              <w:t>supra</w:t>
            </w:r>
            <w:r w:rsidR="00B34D1B" w:rsidRPr="00B34D1B">
              <w:rPr>
                <w:rFonts w:ascii="Times New Roman" w:hAnsi="Times New Roman" w:cs="Times New Roman"/>
                <w:bCs/>
                <w:sz w:val="20"/>
                <w:szCs w:val="20"/>
                <w:lang w:val="ro-RO" w:eastAsia="ro-RO"/>
              </w:rPr>
              <w:t xml:space="preserve"> și notăm că CNPF va emite acte normative secundare care să detalieze procedurile de autorizare în temeiul acestui proiect de lege.</w:t>
            </w:r>
          </w:p>
        </w:tc>
      </w:tr>
      <w:tr w:rsidR="008A5709" w:rsidRPr="009B7C97" w14:paraId="06ABE795"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EDC2BD" w14:textId="77777777" w:rsidR="008A5709" w:rsidRDefault="00835833" w:rsidP="007B175E">
            <w:pPr>
              <w:spacing w:after="0" w:line="240" w:lineRule="auto"/>
              <w:jc w:val="both"/>
              <w:rPr>
                <w:rFonts w:ascii="Times New Roman" w:hAnsi="Times New Roman" w:cs="Times New Roman"/>
                <w:b/>
                <w:sz w:val="20"/>
                <w:szCs w:val="20"/>
                <w:lang w:val="ro-RO" w:eastAsia="ro-RO"/>
              </w:rPr>
            </w:pPr>
            <w:r w:rsidRPr="00835833">
              <w:rPr>
                <w:rFonts w:ascii="Times New Roman" w:hAnsi="Times New Roman" w:cs="Times New Roman"/>
                <w:b/>
                <w:sz w:val="20"/>
                <w:szCs w:val="20"/>
                <w:lang w:val="ro-RO" w:eastAsia="ro-RO"/>
              </w:rPr>
              <w:t>Articolul 94. Membrii și participanții pieței reglementate</w:t>
            </w:r>
          </w:p>
          <w:p w14:paraId="1E54B0B1"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(3) Regulile pieței reglementate pot prevedea că și alte persoane decât cele prevăzute la alin.(2) pot fi admise sau pot adera la piața reglementată în calitate de membru sau participant, cu condiția ca acestea să îndeplinească cumulativ următoarele cerințe:</w:t>
            </w:r>
          </w:p>
          <w:p w14:paraId="320B3C96"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 xml:space="preserve">a) să aibă o reputaţie suficient de bună; </w:t>
            </w:r>
          </w:p>
          <w:p w14:paraId="74200880"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 xml:space="preserve">b) să demonstreze un nivel suficient de aptitudine, competenţă şi experienţă pentru desfășurarea activităților de tranzacţionare; </w:t>
            </w:r>
          </w:p>
          <w:p w14:paraId="0BF317AE"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 xml:space="preserve">c) să dispună, dacă este cazul, de o organizare internă corespunzătoare naturii și complexității activităților desfășurate; </w:t>
            </w:r>
          </w:p>
          <w:p w14:paraId="07E02763" w14:textId="77777777" w:rsidR="00835833" w:rsidRDefault="00835833" w:rsidP="00835833">
            <w:pPr>
              <w:spacing w:after="0" w:line="240" w:lineRule="auto"/>
              <w:jc w:val="both"/>
              <w:rPr>
                <w:rFonts w:ascii="Times New Roman" w:hAnsi="Times New Roman" w:cs="Times New Roman"/>
                <w:b/>
                <w:sz w:val="20"/>
                <w:szCs w:val="20"/>
                <w:lang w:val="ro-RO" w:eastAsia="ro-RO"/>
              </w:rPr>
            </w:pPr>
            <w:r w:rsidRPr="00835833">
              <w:rPr>
                <w:rFonts w:ascii="Times New Roman" w:hAnsi="Times New Roman" w:cs="Times New Roman"/>
                <w:bCs/>
                <w:sz w:val="20"/>
                <w:szCs w:val="20"/>
                <w:lang w:val="ro-RO" w:eastAsia="ro-RO"/>
              </w:rPr>
              <w:t>d) să deţină resurse suficiente corespunzătoare rolului asumat, ţinând seama de mecanismele financiare pe care piaţa reglementată le-ar putea avea pentru garantarea decontării tranzacţiilor.</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D53A4C8" w14:textId="77777777" w:rsidR="008A5709"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4CE55FC0"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6973373" w14:textId="77777777" w:rsidR="008A5709"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23</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D8F6E" w14:textId="77777777" w:rsidR="008A5709" w:rsidRPr="000F4DFF" w:rsidRDefault="008A5709" w:rsidP="007B175E">
            <w:pPr>
              <w:spacing w:after="0" w:line="240" w:lineRule="auto"/>
              <w:jc w:val="both"/>
              <w:rPr>
                <w:rFonts w:ascii="Times New Roman" w:hAnsi="Times New Roman" w:cs="Times New Roman"/>
                <w:sz w:val="20"/>
                <w:szCs w:val="20"/>
                <w:lang w:eastAsia="ro-RO"/>
              </w:rPr>
            </w:pPr>
            <w:r w:rsidRPr="000F4DFF">
              <w:rPr>
                <w:rFonts w:ascii="Times New Roman" w:hAnsi="Times New Roman" w:cs="Times New Roman"/>
                <w:sz w:val="20"/>
                <w:szCs w:val="20"/>
                <w:lang w:eastAsia="ro-RO"/>
              </w:rPr>
              <w:t>Prevederile art.94 alin.(3) instituie criterii generale de admitere a membrilor sau participanților pe piața reglementată, însă formularea acestora este insuficient determinată din punct de vedere juridic, întrucât utilizează noțiuni evaluative precum „reputație suficient de bună”, „nivel suficient de aptitudine, competență și experiență”, „organizare internă corespunzătoare” și „resurse suficiente”, fără a stabili criterii obiective, indicatori minim verificabili sau standarde de evaluare care să asigure o aplicare uniformă și previzibilă a normei. În lipsa unor repere normative clare, aprecierea îndeplinirii acestor condiții este lăsată în mare parte la latitudinea regulilor pieței reglementate și a interpretării subiective a operatorului sau a autorității de supraveghere, ceea ce poate genera practici neunitare și incertitudine juridică pentru potențialii participanți.</w:t>
            </w:r>
          </w:p>
          <w:p w14:paraId="549441D5" w14:textId="77777777" w:rsidR="006751EF" w:rsidRPr="000F4DFF" w:rsidRDefault="006751EF" w:rsidP="007B175E">
            <w:pPr>
              <w:spacing w:after="0" w:line="240" w:lineRule="auto"/>
              <w:jc w:val="both"/>
              <w:rPr>
                <w:rFonts w:ascii="Times New Roman" w:hAnsi="Times New Roman" w:cs="Times New Roman"/>
                <w:sz w:val="20"/>
                <w:szCs w:val="20"/>
                <w:lang w:eastAsia="ro-RO"/>
              </w:rPr>
            </w:pPr>
            <w:r w:rsidRPr="000F4DFF">
              <w:rPr>
                <w:rFonts w:ascii="Times New Roman" w:hAnsi="Times New Roman" w:cs="Times New Roman"/>
                <w:sz w:val="20"/>
                <w:szCs w:val="20"/>
                <w:lang w:eastAsia="ro-RO"/>
              </w:rPr>
              <w:t>Astfel, se impune detalierea criteriilor de eligibilitate prin introducerea unor standarde clare sau trimiterea la norme tehnice și reglementări secundare suficient de precise, astfel încât să fie asigurată transparența, predictibilitatea și aplicarea uniformă a condițiilor de acces la piața reglementată.</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E5E2C" w14:textId="77777777" w:rsidR="00F51356" w:rsidRPr="000F4DFF" w:rsidRDefault="00F51356" w:rsidP="00F51356">
            <w:pPr>
              <w:spacing w:after="0" w:line="240" w:lineRule="auto"/>
              <w:jc w:val="both"/>
              <w:rPr>
                <w:rFonts w:ascii="Times New Roman" w:hAnsi="Times New Roman" w:cs="Times New Roman"/>
                <w:b/>
                <w:sz w:val="20"/>
                <w:szCs w:val="20"/>
                <w:lang w:val="ro-RO" w:eastAsia="ro-RO"/>
              </w:rPr>
            </w:pPr>
            <w:r w:rsidRPr="000F4DFF">
              <w:rPr>
                <w:rFonts w:ascii="Times New Roman" w:hAnsi="Times New Roman" w:cs="Times New Roman"/>
                <w:b/>
                <w:sz w:val="20"/>
                <w:szCs w:val="20"/>
                <w:lang w:val="ro-RO" w:eastAsia="ro-RO"/>
              </w:rPr>
              <w:t>Nu se acceptă.</w:t>
            </w:r>
          </w:p>
          <w:p w14:paraId="7A5F96FF" w14:textId="77777777" w:rsidR="006D067F" w:rsidRPr="006D067F" w:rsidRDefault="006D067F" w:rsidP="006D067F">
            <w:pPr>
              <w:spacing w:after="0" w:line="240" w:lineRule="auto"/>
              <w:jc w:val="both"/>
              <w:rPr>
                <w:rFonts w:ascii="Times New Roman" w:hAnsi="Times New Roman" w:cs="Times New Roman"/>
                <w:bCs/>
                <w:sz w:val="20"/>
                <w:szCs w:val="20"/>
                <w:lang w:val="ro-RO" w:eastAsia="ro-RO"/>
              </w:rPr>
            </w:pPr>
            <w:r w:rsidRPr="006D067F">
              <w:rPr>
                <w:rFonts w:ascii="Times New Roman" w:hAnsi="Times New Roman" w:cs="Times New Roman"/>
                <w:bCs/>
                <w:sz w:val="20"/>
                <w:szCs w:val="20"/>
                <w:lang w:val="ro-RO" w:eastAsia="ro-RO"/>
              </w:rPr>
              <w:t xml:space="preserve">Art.94 alin.(3) transpune art.53 alin.(3) din Directiva 2014/65/UE, reproducând cele </w:t>
            </w:r>
            <w:r>
              <w:rPr>
                <w:rFonts w:ascii="Times New Roman" w:hAnsi="Times New Roman" w:cs="Times New Roman"/>
                <w:bCs/>
                <w:sz w:val="20"/>
                <w:szCs w:val="20"/>
                <w:lang w:val="ro-RO" w:eastAsia="ro-RO"/>
              </w:rPr>
              <w:t>4</w:t>
            </w:r>
            <w:r w:rsidRPr="006D067F">
              <w:rPr>
                <w:rFonts w:ascii="Times New Roman" w:hAnsi="Times New Roman" w:cs="Times New Roman"/>
                <w:bCs/>
                <w:sz w:val="20"/>
                <w:szCs w:val="20"/>
                <w:lang w:val="ro-RO" w:eastAsia="ro-RO"/>
              </w:rPr>
              <w:t xml:space="preserve"> cerințe de admitere a membrilor sau participanților: reputația suficient de bună, nivelul suficient de aptitudine, competență și experiență pentru tranzacționare, organizarea internă corespunzătoare și resursele suficiente, ținând seama de mecanismele de garantare a decontării. Noțiunile evaluative semnalate constituie chiar formularea </w:t>
            </w:r>
            <w:r w:rsidR="00032300">
              <w:rPr>
                <w:rFonts w:ascii="Times New Roman" w:hAnsi="Times New Roman" w:cs="Times New Roman"/>
                <w:bCs/>
                <w:sz w:val="20"/>
                <w:szCs w:val="20"/>
                <w:lang w:val="ro-RO" w:eastAsia="ro-RO"/>
              </w:rPr>
              <w:t>D</w:t>
            </w:r>
            <w:r w:rsidRPr="006D067F">
              <w:rPr>
                <w:rFonts w:ascii="Times New Roman" w:hAnsi="Times New Roman" w:cs="Times New Roman"/>
                <w:bCs/>
                <w:sz w:val="20"/>
                <w:szCs w:val="20"/>
                <w:lang w:val="ro-RO" w:eastAsia="ro-RO"/>
              </w:rPr>
              <w:t>irectivei, iar, potrivit pct.24 din Regulamentul aprobat prin Hotărârea Guvernului nr.1171/2018, acestea se preiau fără devieri; reformularea lor ar denatura transpunerea și ar afecta corespondența cu acquis-ul.</w:t>
            </w:r>
          </w:p>
          <w:p w14:paraId="4030ACBF" w14:textId="77777777" w:rsidR="006D067F" w:rsidRPr="006D067F" w:rsidRDefault="006D067F" w:rsidP="006D067F">
            <w:pPr>
              <w:spacing w:after="0" w:line="240" w:lineRule="auto"/>
              <w:jc w:val="both"/>
              <w:rPr>
                <w:rFonts w:ascii="Times New Roman" w:hAnsi="Times New Roman" w:cs="Times New Roman"/>
                <w:bCs/>
                <w:sz w:val="20"/>
                <w:szCs w:val="20"/>
                <w:lang w:val="ro-RO" w:eastAsia="ro-RO"/>
              </w:rPr>
            </w:pPr>
          </w:p>
          <w:p w14:paraId="265FFBD2" w14:textId="77777777" w:rsidR="006D067F" w:rsidRPr="006D067F" w:rsidRDefault="006D067F" w:rsidP="006D067F">
            <w:pPr>
              <w:spacing w:after="0" w:line="240" w:lineRule="auto"/>
              <w:jc w:val="both"/>
              <w:rPr>
                <w:rFonts w:ascii="Times New Roman" w:hAnsi="Times New Roman" w:cs="Times New Roman"/>
                <w:bCs/>
                <w:sz w:val="20"/>
                <w:szCs w:val="20"/>
                <w:lang w:val="ro-RO" w:eastAsia="ro-RO"/>
              </w:rPr>
            </w:pPr>
            <w:r w:rsidRPr="006D067F">
              <w:rPr>
                <w:rFonts w:ascii="Times New Roman" w:hAnsi="Times New Roman" w:cs="Times New Roman"/>
                <w:bCs/>
                <w:sz w:val="20"/>
                <w:szCs w:val="20"/>
                <w:lang w:val="ro-RO" w:eastAsia="ro-RO"/>
              </w:rPr>
              <w:t xml:space="preserve">Aceste cerințe reprezintă standarde-cadru minime, pe care directiva le stabilește la nivel de principiu, urmând a fi concretizate în regulile pieței reglementate. Departe de a lăsa aprecierea operatorului, </w:t>
            </w:r>
            <w:r w:rsidR="00032300">
              <w:rPr>
                <w:rFonts w:ascii="Times New Roman" w:hAnsi="Times New Roman" w:cs="Times New Roman"/>
                <w:bCs/>
                <w:sz w:val="20"/>
                <w:szCs w:val="20"/>
                <w:lang w:val="ro-RO" w:eastAsia="ro-RO"/>
              </w:rPr>
              <w:t>D</w:t>
            </w:r>
            <w:r w:rsidRPr="006D067F">
              <w:rPr>
                <w:rFonts w:ascii="Times New Roman" w:hAnsi="Times New Roman" w:cs="Times New Roman"/>
                <w:bCs/>
                <w:sz w:val="20"/>
                <w:szCs w:val="20"/>
                <w:lang w:val="ro-RO" w:eastAsia="ro-RO"/>
              </w:rPr>
              <w:t xml:space="preserve">irectiva impune ea însăși, la art.53 alin.(1), ca regulile privind accesul și calitatea de membru să fie transparente, nediscriminatorii și bazate pe criterii obiective </w:t>
            </w:r>
            <w:r w:rsidR="00032300">
              <w:rPr>
                <w:rFonts w:ascii="Times New Roman" w:hAnsi="Times New Roman" w:cs="Times New Roman"/>
                <w:bCs/>
                <w:sz w:val="20"/>
                <w:szCs w:val="20"/>
                <w:lang w:val="ro-RO" w:eastAsia="ro-RO"/>
              </w:rPr>
              <w:t xml:space="preserve">– </w:t>
            </w:r>
            <w:r w:rsidRPr="006D067F">
              <w:rPr>
                <w:rFonts w:ascii="Times New Roman" w:hAnsi="Times New Roman" w:cs="Times New Roman"/>
                <w:bCs/>
                <w:sz w:val="20"/>
                <w:szCs w:val="20"/>
                <w:lang w:val="ro-RO" w:eastAsia="ro-RO"/>
              </w:rPr>
              <w:t xml:space="preserve">cerință transpusă la art.94 din proiect. Aceste reguli sunt supuse, la rândul lor, aprobării și supravegherii CNPF, astfel încât obiectivitatea, previzibilitatea și aplicarea uniformă invocate sunt asigurate la nivelul regulilor pieței și al actelor normative </w:t>
            </w:r>
            <w:r w:rsidRPr="006D067F">
              <w:rPr>
                <w:rFonts w:ascii="Times New Roman" w:hAnsi="Times New Roman" w:cs="Times New Roman"/>
                <w:bCs/>
                <w:sz w:val="20"/>
                <w:szCs w:val="20"/>
                <w:lang w:val="ro-RO" w:eastAsia="ro-RO"/>
              </w:rPr>
              <w:lastRenderedPageBreak/>
              <w:t>ale CNPF, fără a fi necesară</w:t>
            </w:r>
            <w:r w:rsidR="00032300">
              <w:rPr>
                <w:rFonts w:ascii="Times New Roman" w:hAnsi="Times New Roman" w:cs="Times New Roman"/>
                <w:bCs/>
                <w:sz w:val="20"/>
                <w:szCs w:val="20"/>
                <w:lang w:val="ro-RO" w:eastAsia="ro-RO"/>
              </w:rPr>
              <w:t xml:space="preserve"> </w:t>
            </w:r>
            <w:r w:rsidRPr="006D067F">
              <w:rPr>
                <w:rFonts w:ascii="Times New Roman" w:hAnsi="Times New Roman" w:cs="Times New Roman"/>
                <w:bCs/>
                <w:sz w:val="20"/>
                <w:szCs w:val="20"/>
                <w:lang w:val="ro-RO" w:eastAsia="ro-RO"/>
              </w:rPr>
              <w:t>o detaliere a indicatorilor în legea primară.</w:t>
            </w:r>
          </w:p>
          <w:p w14:paraId="4B4C785C" w14:textId="77777777" w:rsidR="006D067F" w:rsidRPr="006D067F" w:rsidRDefault="006D067F" w:rsidP="006D067F">
            <w:pPr>
              <w:spacing w:after="0" w:line="240" w:lineRule="auto"/>
              <w:jc w:val="both"/>
              <w:rPr>
                <w:rFonts w:ascii="Times New Roman" w:hAnsi="Times New Roman" w:cs="Times New Roman"/>
                <w:bCs/>
                <w:sz w:val="20"/>
                <w:szCs w:val="20"/>
                <w:lang w:val="ro-RO" w:eastAsia="ro-RO"/>
              </w:rPr>
            </w:pPr>
          </w:p>
          <w:p w14:paraId="4FB24FCA" w14:textId="77777777" w:rsidR="008A5709" w:rsidRPr="000F4DFF" w:rsidRDefault="00330AF6" w:rsidP="006D067F">
            <w:pPr>
              <w:spacing w:after="0" w:line="240" w:lineRule="auto"/>
              <w:jc w:val="both"/>
              <w:rPr>
                <w:rFonts w:ascii="Times New Roman" w:hAnsi="Times New Roman" w:cs="Times New Roman"/>
                <w:b/>
                <w:sz w:val="20"/>
                <w:szCs w:val="20"/>
                <w:lang w:val="ro-RO" w:eastAsia="ro-RO"/>
              </w:rPr>
            </w:pPr>
            <w:r w:rsidRPr="00330AF6">
              <w:rPr>
                <w:rFonts w:ascii="Times New Roman" w:hAnsi="Times New Roman" w:cs="Times New Roman"/>
                <w:bCs/>
                <w:sz w:val="20"/>
                <w:szCs w:val="20"/>
                <w:lang w:val="ro-RO" w:eastAsia="ro-RO"/>
              </w:rPr>
              <w:t>Mai mult, cerințele de admitere se calibrează în mod necesar și în funcție de caracteristicile concrete ale pieței reglementate în cauză</w:t>
            </w:r>
            <w:r>
              <w:rPr>
                <w:rFonts w:ascii="Times New Roman" w:hAnsi="Times New Roman" w:cs="Times New Roman"/>
                <w:bCs/>
                <w:sz w:val="20"/>
                <w:szCs w:val="20"/>
                <w:lang w:val="ro-RO" w:eastAsia="ro-RO"/>
              </w:rPr>
              <w:t>,</w:t>
            </w:r>
            <w:r w:rsidRPr="00330AF6">
              <w:rPr>
                <w:rFonts w:ascii="Times New Roman" w:hAnsi="Times New Roman" w:cs="Times New Roman"/>
                <w:bCs/>
                <w:sz w:val="20"/>
                <w:szCs w:val="20"/>
                <w:lang w:val="ro-RO" w:eastAsia="ro-RO"/>
              </w:rPr>
              <w:t xml:space="preserve"> în special de tipul instrumentelor financiare tranzacționate (numai valori mobiliare ori și instrumente financiare derivate) și de modalitatea de tranzacționare (inclusiv recurgerea la tranzacționarea algoritmică). </w:t>
            </w:r>
            <w:r>
              <w:rPr>
                <w:rFonts w:ascii="Times New Roman" w:hAnsi="Times New Roman" w:cs="Times New Roman"/>
                <w:bCs/>
                <w:sz w:val="20"/>
                <w:szCs w:val="20"/>
                <w:lang w:val="ro-RO" w:eastAsia="ro-RO"/>
              </w:rPr>
              <w:t>Astfel, n</w:t>
            </w:r>
            <w:r w:rsidRPr="00330AF6">
              <w:rPr>
                <w:rFonts w:ascii="Times New Roman" w:hAnsi="Times New Roman" w:cs="Times New Roman"/>
                <w:bCs/>
                <w:sz w:val="20"/>
                <w:szCs w:val="20"/>
                <w:lang w:val="ro-RO" w:eastAsia="ro-RO"/>
              </w:rPr>
              <w:t>ivelul de aptitudine, competență și experiență, organizarea internă și resursele cerute unui membru sau participant sunt, prin natura lor, variabile</w:t>
            </w:r>
            <w:r>
              <w:rPr>
                <w:rFonts w:ascii="Times New Roman" w:hAnsi="Times New Roman" w:cs="Times New Roman"/>
                <w:bCs/>
                <w:sz w:val="20"/>
                <w:szCs w:val="20"/>
                <w:lang w:val="ro-RO" w:eastAsia="ro-RO"/>
              </w:rPr>
              <w:t xml:space="preserve"> iar </w:t>
            </w:r>
            <w:r w:rsidRPr="00330AF6">
              <w:rPr>
                <w:rFonts w:ascii="Times New Roman" w:hAnsi="Times New Roman" w:cs="Times New Roman"/>
                <w:bCs/>
                <w:sz w:val="20"/>
                <w:szCs w:val="20"/>
                <w:lang w:val="ro-RO" w:eastAsia="ro-RO"/>
              </w:rPr>
              <w:t xml:space="preserve">diversitatea piețelor și a modalităților de tranzacționare face ca stabilirea unor indicatori </w:t>
            </w:r>
            <w:r>
              <w:rPr>
                <w:rFonts w:ascii="Times New Roman" w:hAnsi="Times New Roman" w:cs="Times New Roman"/>
                <w:bCs/>
                <w:sz w:val="20"/>
                <w:szCs w:val="20"/>
                <w:lang w:val="ro-RO" w:eastAsia="ro-RO"/>
              </w:rPr>
              <w:t>exacți</w:t>
            </w:r>
            <w:r w:rsidRPr="00330AF6">
              <w:rPr>
                <w:rFonts w:ascii="Times New Roman" w:hAnsi="Times New Roman" w:cs="Times New Roman"/>
                <w:bCs/>
                <w:sz w:val="20"/>
                <w:szCs w:val="20"/>
                <w:lang w:val="ro-RO" w:eastAsia="ro-RO"/>
              </w:rPr>
              <w:t xml:space="preserve"> și uniformi în legea primară să fie inadecvată.</w:t>
            </w:r>
          </w:p>
        </w:tc>
      </w:tr>
      <w:tr w:rsidR="006751EF" w:rsidRPr="009B7C97" w14:paraId="22CAFA1A"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DFE186" w14:textId="77777777" w:rsidR="00835833" w:rsidRPr="00835833" w:rsidRDefault="00835833" w:rsidP="00835833">
            <w:pPr>
              <w:spacing w:after="0" w:line="240" w:lineRule="auto"/>
              <w:jc w:val="both"/>
              <w:rPr>
                <w:rFonts w:ascii="Times New Roman" w:hAnsi="Times New Roman" w:cs="Times New Roman"/>
                <w:b/>
                <w:sz w:val="20"/>
                <w:szCs w:val="20"/>
                <w:lang w:val="ro-RO" w:eastAsia="ro-RO"/>
              </w:rPr>
            </w:pPr>
            <w:r w:rsidRPr="00835833">
              <w:rPr>
                <w:rFonts w:ascii="Times New Roman" w:hAnsi="Times New Roman" w:cs="Times New Roman"/>
                <w:b/>
                <w:sz w:val="20"/>
                <w:szCs w:val="20"/>
                <w:lang w:val="ro-RO" w:eastAsia="ro-RO"/>
              </w:rPr>
              <w:lastRenderedPageBreak/>
              <w:t xml:space="preserve">Articolul 117. Dispoziții generale privind furnizarea de servicii de raportare a datelor </w:t>
            </w:r>
          </w:p>
          <w:p w14:paraId="26DB9378"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w:t>
            </w:r>
          </w:p>
          <w:p w14:paraId="50B52880"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(2) În sensul prezentei legi, următoarele noţiuni au următoarele semnificaţii:</w:t>
            </w:r>
          </w:p>
          <w:p w14:paraId="50DFA265"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1) furnizor de servicii de raportare a datelor – persoană autorizată să presteze unul sau mai multe servicii de raportare a datelor, respectiv, serviciile corespunzătoare unui APA, CTP, sau ARM sau o firmă de investiții sau un operator de piață care exploatează un loc de tranzacționare și este autorizat să presteze, în temeiul autorizației, servicii echivalente celor prestate de APA, CTP sau ARM;</w:t>
            </w:r>
          </w:p>
          <w:p w14:paraId="2E65EC1C"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 xml:space="preserve">2) furnizor de sisteme centralizate de raportare sau CTP – persoană autorizată să </w:t>
            </w:r>
            <w:r w:rsidRPr="00835833">
              <w:rPr>
                <w:rFonts w:ascii="Times New Roman" w:hAnsi="Times New Roman" w:cs="Times New Roman"/>
                <w:bCs/>
                <w:sz w:val="20"/>
                <w:szCs w:val="20"/>
                <w:lang w:val="ro-RO" w:eastAsia="ro-RO"/>
              </w:rPr>
              <w:lastRenderedPageBreak/>
              <w:t xml:space="preserve">presteze serviciul de colectare de date de la locuri de tranzacţionare și APA și de consolidare a acestor date într-un flux continuu de date electronice în direct care furnizează date de piaţă de bază și date de reglementare; </w:t>
            </w:r>
          </w:p>
          <w:p w14:paraId="171FCBD6" w14:textId="77777777" w:rsidR="00835833" w:rsidRPr="00835833" w:rsidRDefault="00835833" w:rsidP="00835833">
            <w:pPr>
              <w:spacing w:after="0" w:line="240" w:lineRule="auto"/>
              <w:jc w:val="both"/>
              <w:rPr>
                <w:rFonts w:ascii="Times New Roman" w:hAnsi="Times New Roman" w:cs="Times New Roman"/>
                <w:bCs/>
                <w:sz w:val="20"/>
                <w:szCs w:val="20"/>
                <w:lang w:val="ro-RO" w:eastAsia="ro-RO"/>
              </w:rPr>
            </w:pPr>
            <w:r w:rsidRPr="00835833">
              <w:rPr>
                <w:rFonts w:ascii="Times New Roman" w:hAnsi="Times New Roman" w:cs="Times New Roman"/>
                <w:bCs/>
                <w:sz w:val="20"/>
                <w:szCs w:val="20"/>
                <w:lang w:val="ro-RO" w:eastAsia="ro-RO"/>
              </w:rPr>
              <w:t xml:space="preserve">3) mecanism de publicare aprobat sau APA – persoană autorizată să presteze, în numele firmelor de investiții, serviciul de publicare a rapoartelor privind tranzacţiile, în vederea executării obligațiilor de transparență post-tranzacționare prevăzute la art.65; </w:t>
            </w:r>
          </w:p>
          <w:p w14:paraId="39DB862B" w14:textId="77777777" w:rsidR="006751EF" w:rsidRDefault="00835833" w:rsidP="00835833">
            <w:pPr>
              <w:spacing w:after="0" w:line="240" w:lineRule="auto"/>
              <w:jc w:val="both"/>
              <w:rPr>
                <w:rFonts w:ascii="Times New Roman" w:hAnsi="Times New Roman" w:cs="Times New Roman"/>
                <w:b/>
                <w:sz w:val="20"/>
                <w:szCs w:val="20"/>
                <w:lang w:val="ro-RO" w:eastAsia="ro-RO"/>
              </w:rPr>
            </w:pPr>
            <w:r w:rsidRPr="00835833">
              <w:rPr>
                <w:rFonts w:ascii="Times New Roman" w:hAnsi="Times New Roman" w:cs="Times New Roman"/>
                <w:bCs/>
                <w:sz w:val="20"/>
                <w:szCs w:val="20"/>
                <w:lang w:val="ro-RO" w:eastAsia="ro-RO"/>
              </w:rPr>
              <w:t>4) mecanism de raportare aprobat sau ARM – persoană autorizată să presteze, în numele firmelor de investiții, serviciul de raportare către CNPF a detaliilor privind tranzacțiile, în vederea executării obligațiilor de raportare prevăzute la art.66 alin.(3)-(7).</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5B6E6A7" w14:textId="77777777" w:rsidR="006751EF" w:rsidRDefault="00DF09F2" w:rsidP="007B175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Ministerul Justiției</w:t>
            </w:r>
          </w:p>
          <w:p w14:paraId="44BB7600" w14:textId="77777777" w:rsidR="00263797" w:rsidRDefault="00263797" w:rsidP="007B175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6AAB5F7" w14:textId="77777777" w:rsidR="006751EF"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24</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3A803" w14:textId="77777777" w:rsidR="006751EF" w:rsidRPr="003404C6" w:rsidRDefault="006751EF" w:rsidP="007B175E">
            <w:pPr>
              <w:spacing w:after="0" w:line="240" w:lineRule="auto"/>
              <w:jc w:val="both"/>
              <w:rPr>
                <w:rFonts w:ascii="Times New Roman" w:hAnsi="Times New Roman" w:cs="Times New Roman"/>
                <w:sz w:val="20"/>
                <w:szCs w:val="20"/>
                <w:lang w:eastAsia="ro-RO"/>
              </w:rPr>
            </w:pPr>
            <w:r w:rsidRPr="003404C6">
              <w:rPr>
                <w:rFonts w:ascii="Times New Roman" w:hAnsi="Times New Roman" w:cs="Times New Roman"/>
                <w:sz w:val="20"/>
                <w:szCs w:val="20"/>
                <w:lang w:eastAsia="ro-RO"/>
              </w:rPr>
              <w:t>Cu referire la art.117, remarcăm că enumerarea noțiunilor este structurată prin utilizarea cifrelor urmate de paranteză („1)”, „2)”, „3)” etc.).</w:t>
            </w:r>
          </w:p>
          <w:p w14:paraId="1321486B" w14:textId="77777777" w:rsidR="006751EF" w:rsidRPr="003404C6" w:rsidRDefault="006751EF" w:rsidP="007B175E">
            <w:pPr>
              <w:spacing w:after="0" w:line="240" w:lineRule="auto"/>
              <w:jc w:val="both"/>
              <w:rPr>
                <w:rFonts w:ascii="Times New Roman" w:hAnsi="Times New Roman" w:cs="Times New Roman"/>
                <w:sz w:val="20"/>
                <w:szCs w:val="20"/>
                <w:lang w:eastAsia="ro-RO"/>
              </w:rPr>
            </w:pPr>
            <w:r w:rsidRPr="003404C6">
              <w:rPr>
                <w:rFonts w:ascii="Times New Roman" w:hAnsi="Times New Roman" w:cs="Times New Roman"/>
                <w:sz w:val="20"/>
                <w:szCs w:val="20"/>
                <w:lang w:eastAsia="ro-RO"/>
              </w:rPr>
              <w:t>În acest context, se va reexamina structura normei prin prisma art.51 alin.(6) din Legea nr.100/2017 cu privire la actele normative, care stabilește că alineatele se divizează, de regulă, în litere, iar utilizarea punctelor numerotate este justificată în cazul unei structuri complexe. Prin urmare, recomandă</w:t>
            </w:r>
            <w:r w:rsidR="00847D82" w:rsidRPr="003404C6">
              <w:rPr>
                <w:rFonts w:ascii="Times New Roman" w:hAnsi="Times New Roman" w:cs="Times New Roman"/>
                <w:sz w:val="20"/>
                <w:szCs w:val="20"/>
                <w:lang w:eastAsia="ro-RO"/>
              </w:rPr>
              <w:t xml:space="preserve"> ajustarea acesteia în conformitate cu exigențele de tehnică legislativă.</w:t>
            </w:r>
          </w:p>
          <w:p w14:paraId="7EE3F5BA" w14:textId="77777777" w:rsidR="00847D82" w:rsidRPr="003404C6" w:rsidRDefault="00847D82" w:rsidP="007B175E">
            <w:pPr>
              <w:spacing w:after="0" w:line="240" w:lineRule="auto"/>
              <w:jc w:val="both"/>
              <w:rPr>
                <w:rFonts w:ascii="Times New Roman" w:hAnsi="Times New Roman" w:cs="Times New Roman"/>
                <w:sz w:val="20"/>
                <w:szCs w:val="20"/>
                <w:lang w:eastAsia="ro-RO"/>
              </w:rPr>
            </w:pPr>
            <w:r w:rsidRPr="003404C6">
              <w:rPr>
                <w:rFonts w:ascii="Times New Roman" w:hAnsi="Times New Roman" w:cs="Times New Roman"/>
                <w:sz w:val="20"/>
                <w:szCs w:val="20"/>
                <w:lang w:eastAsia="ro-RO"/>
              </w:rPr>
              <w:t xml:space="preserve">La fel, atenționăm că, în conformitate cu art.45 alin.(1) lit.c) din Legea nr.100/2017, definirea termenilor și explicarea noțiunilor reprezintă elemente specifice dispozițiilor generale ale actului normativ, iar potrivit art.41 din aceeași lege, structura actului normativ presupune delimitarea clară între dispozițiile generale și dispozițiile de conținut, în vederea asigurării coerenței și unității conceptuale a reglementării. În acest sens, art.4 alin.(1) din proiect stabilește deja cadrul general al noțiunilor utilizate, ceea ce presupune că utilizarea termenilor trebuie să fie unitară și </w:t>
            </w:r>
            <w:r w:rsidRPr="003404C6">
              <w:rPr>
                <w:rFonts w:ascii="Times New Roman" w:hAnsi="Times New Roman" w:cs="Times New Roman"/>
                <w:sz w:val="20"/>
                <w:szCs w:val="20"/>
                <w:lang w:eastAsia="ro-RO"/>
              </w:rPr>
              <w:lastRenderedPageBreak/>
              <w:t>consecventă pe întreg cuprinsul actului normativ, fără multiplicarea nejustificată a definițiilor sau fragmentarea acestora pe capitole ori titluri, cu excepția situațiilor în care sunt introduse noțiuni strict sectoriale care necesită precizări suplimentare. În acest sens, inserarea sau reluarea necorelată a unor definiții în diferite părți ale proiectului, fără raportare expresă la cadrul conceptual general, poate afecta coerența internă a actului normativ și poate genera dificultăți de interpretare și aplicare unitară a acestuia. Prin urmare, se impune asigurarea unei abordări sistemice și unitare a definirii noțiunilor, prin evitarea redundanțelor și prin corelarea strictă cu cadrul general instituit de Legea nr.100/2017 (obiecție aplicabilă și pentru art.125, art.128, art.131 din proiect).</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56DE01" w14:textId="77777777" w:rsidR="00400D4A" w:rsidRPr="003404C6" w:rsidRDefault="00400D4A" w:rsidP="00400D4A">
            <w:pPr>
              <w:spacing w:after="0" w:line="240" w:lineRule="auto"/>
              <w:jc w:val="both"/>
              <w:rPr>
                <w:rFonts w:ascii="Times New Roman" w:hAnsi="Times New Roman" w:cs="Times New Roman"/>
                <w:b/>
                <w:sz w:val="20"/>
                <w:szCs w:val="20"/>
                <w:lang w:val="ro-RO" w:eastAsia="ro-RO"/>
              </w:rPr>
            </w:pPr>
            <w:r w:rsidRPr="003404C6">
              <w:rPr>
                <w:rFonts w:ascii="Times New Roman" w:hAnsi="Times New Roman" w:cs="Times New Roman"/>
                <w:b/>
                <w:sz w:val="20"/>
                <w:szCs w:val="20"/>
                <w:lang w:val="ro-RO" w:eastAsia="ro-RO"/>
              </w:rPr>
              <w:lastRenderedPageBreak/>
              <w:t>Se acceptă parțial.</w:t>
            </w:r>
          </w:p>
          <w:p w14:paraId="418F8289" w14:textId="77777777" w:rsidR="00FB03AE" w:rsidRDefault="00400D4A" w:rsidP="00FB03AE">
            <w:pPr>
              <w:rPr>
                <w:rFonts w:ascii="Times New Roman" w:hAnsi="Times New Roman" w:cs="Times New Roman"/>
                <w:bCs/>
                <w:sz w:val="20"/>
                <w:szCs w:val="20"/>
                <w:lang w:val="ro-RO" w:eastAsia="ro-RO"/>
              </w:rPr>
            </w:pPr>
            <w:r w:rsidRPr="003404C6">
              <w:rPr>
                <w:rFonts w:ascii="Times New Roman" w:hAnsi="Times New Roman" w:cs="Times New Roman"/>
                <w:bCs/>
                <w:sz w:val="20"/>
                <w:szCs w:val="20"/>
                <w:lang w:val="ro-RO" w:eastAsia="ro-RO"/>
              </w:rPr>
              <w:t xml:space="preserve">Au fost operate modificări la art.117 alin.(2) cu numerotarea noțiunilor în litere, în conformitate cu exigențele art.51 alin.(6) din Legea nr.100/2017. </w:t>
            </w:r>
          </w:p>
          <w:p w14:paraId="398FA81F" w14:textId="77777777" w:rsidR="00FB03AE" w:rsidRDefault="00FB03AE" w:rsidP="00FB03AE">
            <w:pPr>
              <w:jc w:val="both"/>
              <w:rPr>
                <w:rFonts w:ascii="Times New Roman" w:hAnsi="Times New Roman" w:cs="Times New Roman"/>
                <w:bCs/>
                <w:sz w:val="20"/>
                <w:szCs w:val="20"/>
                <w:lang w:eastAsia="ro-RO"/>
              </w:rPr>
            </w:pPr>
            <w:r w:rsidRPr="00FB03AE">
              <w:rPr>
                <w:rFonts w:ascii="Times New Roman" w:hAnsi="Times New Roman" w:cs="Times New Roman"/>
                <w:bCs/>
                <w:sz w:val="20"/>
                <w:szCs w:val="20"/>
                <w:lang w:eastAsia="ro-RO"/>
              </w:rPr>
              <w:t xml:space="preserve">Cu privire la relocarea </w:t>
            </w:r>
            <w:r>
              <w:rPr>
                <w:rFonts w:ascii="Times New Roman" w:hAnsi="Times New Roman" w:cs="Times New Roman"/>
                <w:bCs/>
                <w:sz w:val="20"/>
                <w:szCs w:val="20"/>
                <w:lang w:eastAsia="ro-RO"/>
              </w:rPr>
              <w:t xml:space="preserve">definițiilor: </w:t>
            </w:r>
            <w:r w:rsidRPr="00FB03AE">
              <w:rPr>
                <w:rFonts w:ascii="Times New Roman" w:hAnsi="Times New Roman" w:cs="Times New Roman"/>
                <w:bCs/>
                <w:sz w:val="20"/>
                <w:szCs w:val="20"/>
                <w:lang w:eastAsia="ro-RO"/>
              </w:rPr>
              <w:t>aceste articole transpun, cu titlu tranzitoriu, până la aderare, prevederi ale unor regulamente ale Uniunii Europene direct aplicabile</w:t>
            </w:r>
            <w:r>
              <w:rPr>
                <w:rFonts w:ascii="Times New Roman" w:hAnsi="Times New Roman" w:cs="Times New Roman"/>
                <w:bCs/>
                <w:sz w:val="20"/>
                <w:szCs w:val="20"/>
                <w:lang w:eastAsia="ro-RO"/>
              </w:rPr>
              <w:t xml:space="preserve"> – </w:t>
            </w:r>
            <w:r w:rsidRPr="00FB03AE">
              <w:rPr>
                <w:rFonts w:ascii="Times New Roman" w:hAnsi="Times New Roman" w:cs="Times New Roman"/>
                <w:bCs/>
                <w:sz w:val="20"/>
                <w:szCs w:val="20"/>
                <w:lang w:eastAsia="ro-RO"/>
              </w:rPr>
              <w:t xml:space="preserve"> Regulamentul (UE) nr.600/2014 (MiFIR), Regulamentul (UE) 2015/2365 (SFTR) și, respectiv, Regulamentul (UE) nr.236/2012. Potrivit art.169 alin.(5) din proiect, la data intrării în vigoare a Tratatului de aderare a Republicii Moldova la UE aceste dispoziții (art.125-139, alături de art.113-116) se </w:t>
            </w:r>
            <w:r w:rsidRPr="00FB03AE">
              <w:rPr>
                <w:rFonts w:ascii="Times New Roman" w:hAnsi="Times New Roman" w:cs="Times New Roman"/>
                <w:bCs/>
                <w:sz w:val="20"/>
                <w:szCs w:val="20"/>
                <w:lang w:eastAsia="ro-RO"/>
              </w:rPr>
              <w:lastRenderedPageBreak/>
              <w:t xml:space="preserve">abrogă, întrucât regulamentele respective devin direct aplicabile. Menținerea definițiilor aferente în cadrul acestor dispoziții speciale este necesară pentru a permite abrogarea lor unitară, odată cu normele pe care le deservesc, evitându-se astfel rămânerea unor definiții fără obiect și paralelismul cu regulamentele europene direct aplicabile. </w:t>
            </w:r>
          </w:p>
          <w:p w14:paraId="57318BBF" w14:textId="77777777" w:rsidR="00400D4A" w:rsidRPr="003404C6" w:rsidRDefault="00C11FDF" w:rsidP="00C11FDF">
            <w:pPr>
              <w:jc w:val="both"/>
              <w:rPr>
                <w:rFonts w:ascii="Times New Roman" w:hAnsi="Times New Roman" w:cs="Times New Roman"/>
                <w:bCs/>
                <w:sz w:val="20"/>
                <w:szCs w:val="20"/>
                <w:lang w:eastAsia="ro-RO"/>
              </w:rPr>
            </w:pPr>
            <w:r>
              <w:rPr>
                <w:rFonts w:ascii="Times New Roman" w:hAnsi="Times New Roman" w:cs="Times New Roman"/>
                <w:bCs/>
                <w:sz w:val="20"/>
                <w:szCs w:val="20"/>
                <w:lang w:eastAsia="ro-RO"/>
              </w:rPr>
              <w:t>Totodată, p</w:t>
            </w:r>
            <w:r w:rsidRPr="00C11FDF">
              <w:rPr>
                <w:rFonts w:ascii="Times New Roman" w:hAnsi="Times New Roman" w:cs="Times New Roman"/>
                <w:bCs/>
                <w:sz w:val="20"/>
                <w:szCs w:val="20"/>
                <w:lang w:eastAsia="ro-RO"/>
              </w:rPr>
              <w:t>lasarea acestor definiții în dispozițiile speciale nu reflectă doar o aplicabilitate limitată la un anumit titlu, ci și faptul că noțiunile respective țin de un obiect de reglementare distinct față de scopul general al legii. Deși sunt cuprinse în prezenta lege, serviciile de raportare a datelor (de exemplu, APA,</w:t>
            </w:r>
            <w:r>
              <w:rPr>
                <w:rFonts w:ascii="Times New Roman" w:hAnsi="Times New Roman" w:cs="Times New Roman"/>
                <w:bCs/>
                <w:sz w:val="20"/>
                <w:szCs w:val="20"/>
                <w:lang w:eastAsia="ro-RO"/>
              </w:rPr>
              <w:t xml:space="preserve"> ARM - </w:t>
            </w:r>
            <w:r w:rsidRPr="00C11FDF">
              <w:rPr>
                <w:rFonts w:ascii="Times New Roman" w:hAnsi="Times New Roman" w:cs="Times New Roman"/>
                <w:bCs/>
                <w:sz w:val="20"/>
                <w:szCs w:val="20"/>
                <w:lang w:eastAsia="ro-RO"/>
              </w:rPr>
              <w:t xml:space="preserve">noțiuni legate de publicarea și raportarea datelor privind tranzacțiile, iar nu de prestarea serviciilor de investiții), transparența operațiunilor de finanțare prin instrumente financiare (art.128) și regimul vânzării în lipsă și al swapurilor pe riscul de credit (art.131) constituie regimuri specializate, cu o logică și o terminologie proprii, diferite de obiectul principal al legii </w:t>
            </w:r>
            <w:r>
              <w:rPr>
                <w:rFonts w:ascii="Times New Roman" w:hAnsi="Times New Roman" w:cs="Times New Roman"/>
                <w:bCs/>
                <w:sz w:val="20"/>
                <w:szCs w:val="20"/>
                <w:lang w:eastAsia="ro-RO"/>
              </w:rPr>
              <w:t xml:space="preserve">- </w:t>
            </w:r>
            <w:r w:rsidRPr="00C11FDF">
              <w:rPr>
                <w:rFonts w:ascii="Times New Roman" w:hAnsi="Times New Roman" w:cs="Times New Roman"/>
                <w:bCs/>
                <w:sz w:val="20"/>
                <w:szCs w:val="20"/>
                <w:lang w:eastAsia="ro-RO"/>
              </w:rPr>
              <w:t>piețele instrumentelor financiare și prestarea serviciilor și activităților de investiții. Definirea noțiunilor specifice fiecărui asemenea regim în cadrul dispoziției speciale care îl reglementează asigură coerența și autonomia conceptuală a regimului respectiv, în acord cu art.41 din Legea nr.100/2017</w:t>
            </w:r>
            <w:r>
              <w:rPr>
                <w:rFonts w:ascii="Times New Roman" w:hAnsi="Times New Roman" w:cs="Times New Roman"/>
                <w:bCs/>
                <w:sz w:val="20"/>
                <w:szCs w:val="20"/>
                <w:lang w:eastAsia="ro-RO"/>
              </w:rPr>
              <w:t>.</w:t>
            </w:r>
          </w:p>
        </w:tc>
      </w:tr>
      <w:tr w:rsidR="00B03A08" w:rsidRPr="009B7C97" w14:paraId="725D4115"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E97782" w14:textId="77777777" w:rsidR="00B03A08" w:rsidRPr="00B03A08" w:rsidRDefault="00B03A08" w:rsidP="00B03A08">
            <w:pPr>
              <w:spacing w:after="0" w:line="240" w:lineRule="auto"/>
              <w:jc w:val="both"/>
              <w:rPr>
                <w:rFonts w:ascii="Times New Roman" w:hAnsi="Times New Roman" w:cs="Times New Roman"/>
                <w:b/>
                <w:sz w:val="20"/>
                <w:szCs w:val="20"/>
                <w:lang w:val="ro-RO" w:eastAsia="ro-RO"/>
              </w:rPr>
            </w:pPr>
            <w:r w:rsidRPr="00B03A08">
              <w:rPr>
                <w:rFonts w:ascii="Times New Roman" w:hAnsi="Times New Roman" w:cs="Times New Roman"/>
                <w:b/>
                <w:sz w:val="20"/>
                <w:szCs w:val="20"/>
                <w:lang w:val="ro-RO" w:eastAsia="ro-RO"/>
              </w:rPr>
              <w:lastRenderedPageBreak/>
              <w:t>Articolul 127. Servicii de reducere a riscurilor post-tranzacționare</w:t>
            </w:r>
          </w:p>
          <w:p w14:paraId="1A9A9BAF" w14:textId="77777777" w:rsidR="00B03A08" w:rsidRPr="00B03A08" w:rsidRDefault="00B03A08" w:rsidP="00B03A08">
            <w:pPr>
              <w:spacing w:after="0" w:line="240" w:lineRule="auto"/>
              <w:jc w:val="both"/>
              <w:rPr>
                <w:rFonts w:ascii="Times New Roman" w:hAnsi="Times New Roman" w:cs="Times New Roman"/>
                <w:bCs/>
                <w:sz w:val="20"/>
                <w:szCs w:val="20"/>
                <w:lang w:val="ro-RO" w:eastAsia="ro-RO"/>
              </w:rPr>
            </w:pPr>
            <w:r w:rsidRPr="00B03A08">
              <w:rPr>
                <w:rFonts w:ascii="Times New Roman" w:hAnsi="Times New Roman" w:cs="Times New Roman"/>
                <w:bCs/>
                <w:sz w:val="20"/>
                <w:szCs w:val="20"/>
                <w:lang w:val="ro-RO" w:eastAsia="ro-RO"/>
              </w:rPr>
              <w:t>(1) Cerinţele de transparenţă prevăzute la art.65 alin.(2) și (3), art.113 alin.(4)-(5), alin.(7)-(8) și art.114 alin.(2)-(3), obligaţia de tranzacţionare prevăzută la art.125 și obligaţia de a executa ordinele în condiţiile cele mai favorabile pentru client prevăzută la art.58 nu se aplică tranzacţiilor cu instrumente financiare derivate extrabursiere care sunt formate și stabilite ca urmare a serviciilor de reducere a riscurilor post-tranzacţionare.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85339CE" w14:textId="77777777" w:rsidR="00B03A08" w:rsidRDefault="00B03A08" w:rsidP="00B03A08">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6BDD5446" w14:textId="77777777" w:rsidR="00263797" w:rsidRDefault="00263797" w:rsidP="00B03A08">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4F6E35D" w14:textId="77777777" w:rsidR="00B03A08"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25</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D29D9" w14:textId="77777777" w:rsidR="00B03A08" w:rsidRPr="00F00B7C" w:rsidRDefault="00B03A08" w:rsidP="00B03A08">
            <w:pPr>
              <w:tabs>
                <w:tab w:val="left" w:pos="1230"/>
              </w:tabs>
              <w:spacing w:after="0" w:line="240" w:lineRule="auto"/>
              <w:jc w:val="both"/>
              <w:rPr>
                <w:rFonts w:ascii="Times New Roman" w:hAnsi="Times New Roman" w:cs="Times New Roman"/>
                <w:sz w:val="20"/>
                <w:szCs w:val="20"/>
                <w:lang w:eastAsia="ro-RO"/>
              </w:rPr>
            </w:pPr>
            <w:r w:rsidRPr="00F00B7C">
              <w:rPr>
                <w:rFonts w:ascii="Times New Roman" w:hAnsi="Times New Roman" w:cs="Times New Roman"/>
                <w:sz w:val="20"/>
                <w:szCs w:val="20"/>
                <w:lang w:eastAsia="ro-RO"/>
              </w:rPr>
              <w:t>La art.127 alin.(1) sunt utilizate trimiteri de forma „alin. (2) – (3)”, „alin. (4) – (5)” etc. Atragem atenția că, utilizarea cratimei pentru indicarea unui interval de alineate este justificată în cazul în care trimiterea vizează o succesiune mai extinsă de dispoziții. În situația în care sunt vizate doar două alineate, este recomandabilă indicarea expresă a acestora prin formularea „alin.(2) și (3)”, „alin.(4) și (5)” etc., întrucât aceasta asigură o redactare mai clară și mai  conformă regulilor de tehnică legislativă. În acest sens, se recomandă revizuirea uniformă a trimiterilor din cuprinsul proiectului.</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B331D" w14:textId="77777777" w:rsidR="00400D4A" w:rsidRDefault="00B03A08" w:rsidP="00B03A08">
            <w:pPr>
              <w:spacing w:after="0" w:line="240" w:lineRule="auto"/>
              <w:jc w:val="both"/>
              <w:rPr>
                <w:rFonts w:ascii="Times New Roman" w:hAnsi="Times New Roman" w:cs="Times New Roman"/>
                <w:b/>
                <w:sz w:val="20"/>
                <w:szCs w:val="20"/>
                <w:lang w:eastAsia="ro-RO"/>
              </w:rPr>
            </w:pPr>
            <w:r w:rsidRPr="00F00B7C">
              <w:rPr>
                <w:rFonts w:ascii="Times New Roman" w:hAnsi="Times New Roman" w:cs="Times New Roman"/>
                <w:b/>
                <w:sz w:val="20"/>
                <w:szCs w:val="20"/>
                <w:lang w:val="ro-RO" w:eastAsia="ro-RO"/>
              </w:rPr>
              <w:t>Se accept</w:t>
            </w:r>
            <w:r w:rsidRPr="00F00B7C">
              <w:rPr>
                <w:rFonts w:ascii="Times New Roman" w:hAnsi="Times New Roman" w:cs="Times New Roman"/>
                <w:b/>
                <w:sz w:val="20"/>
                <w:szCs w:val="20"/>
                <w:lang w:eastAsia="ro-RO"/>
              </w:rPr>
              <w:t>ă</w:t>
            </w:r>
          </w:p>
          <w:p w14:paraId="32A4ABBD" w14:textId="77777777" w:rsidR="000167FB" w:rsidRPr="00F00B7C" w:rsidRDefault="000167FB" w:rsidP="00B03A08">
            <w:pPr>
              <w:spacing w:after="0" w:line="240" w:lineRule="auto"/>
              <w:jc w:val="both"/>
              <w:rPr>
                <w:rFonts w:ascii="Times New Roman" w:hAnsi="Times New Roman" w:cs="Times New Roman"/>
                <w:bCs/>
                <w:sz w:val="20"/>
                <w:szCs w:val="20"/>
                <w:lang w:val="ro-RO" w:eastAsia="ro-RO"/>
              </w:rPr>
            </w:pPr>
            <w:r w:rsidRPr="000167FB">
              <w:rPr>
                <w:rFonts w:ascii="Times New Roman" w:hAnsi="Times New Roman" w:cs="Times New Roman"/>
                <w:bCs/>
                <w:sz w:val="20"/>
                <w:szCs w:val="20"/>
                <w:lang w:val="ro-RO" w:eastAsia="ro-RO"/>
              </w:rPr>
              <w:t>Au fost operate modificări la art.127 alin.(1) și, în mod uniform, pe parcursul proiectulu</w:t>
            </w:r>
            <w:r>
              <w:rPr>
                <w:rFonts w:ascii="Times New Roman" w:hAnsi="Times New Roman" w:cs="Times New Roman"/>
                <w:bCs/>
                <w:sz w:val="20"/>
                <w:szCs w:val="20"/>
                <w:lang w:val="ro-RO" w:eastAsia="ro-RO"/>
              </w:rPr>
              <w:t>i.</w:t>
            </w:r>
          </w:p>
        </w:tc>
      </w:tr>
      <w:tr w:rsidR="00B03A08" w:rsidRPr="009B7C97" w14:paraId="36FF7507"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6B125" w14:textId="77777777" w:rsidR="00B03A08" w:rsidRDefault="00B03A08" w:rsidP="00B03A08">
            <w:pPr>
              <w:spacing w:after="0" w:line="240" w:lineRule="auto"/>
              <w:jc w:val="both"/>
              <w:rPr>
                <w:rFonts w:ascii="Times New Roman" w:hAnsi="Times New Roman" w:cs="Times New Roman"/>
                <w:b/>
                <w:sz w:val="20"/>
                <w:szCs w:val="20"/>
                <w:lang w:val="ro-RO" w:eastAsia="ro-RO"/>
              </w:rPr>
            </w:pPr>
            <w:r w:rsidRPr="00B03A08">
              <w:rPr>
                <w:rFonts w:ascii="Times New Roman" w:hAnsi="Times New Roman" w:cs="Times New Roman"/>
                <w:b/>
                <w:sz w:val="20"/>
                <w:szCs w:val="20"/>
                <w:lang w:val="ro-RO" w:eastAsia="ro-RO"/>
              </w:rPr>
              <w:t>Articolul 130. Transparența reutilizării</w:t>
            </w:r>
          </w:p>
          <w:p w14:paraId="7616D5A5" w14:textId="77777777" w:rsidR="00B03A08" w:rsidRPr="00B03A08" w:rsidRDefault="00B03A08" w:rsidP="00B03A08">
            <w:pPr>
              <w:spacing w:after="0" w:line="240" w:lineRule="auto"/>
              <w:rPr>
                <w:rFonts w:ascii="Times New Roman" w:hAnsi="Times New Roman" w:cs="Times New Roman"/>
                <w:bCs/>
                <w:sz w:val="20"/>
                <w:szCs w:val="20"/>
                <w:lang w:val="ro-RO" w:eastAsia="ro-RO"/>
              </w:rPr>
            </w:pPr>
            <w:r w:rsidRPr="00B03A08">
              <w:rPr>
                <w:rFonts w:ascii="Times New Roman" w:hAnsi="Times New Roman" w:cs="Times New Roman"/>
                <w:bCs/>
                <w:sz w:val="20"/>
                <w:szCs w:val="20"/>
                <w:lang w:val="ro-RO" w:eastAsia="ro-RO"/>
              </w:rPr>
              <w:t>(5) Prezentul articol nu aduce atingere:</w:t>
            </w:r>
          </w:p>
          <w:p w14:paraId="650F08DC" w14:textId="77777777" w:rsidR="00B03A08" w:rsidRPr="00B03A08" w:rsidRDefault="00B03A08" w:rsidP="00B03A08">
            <w:pPr>
              <w:spacing w:after="0" w:line="240" w:lineRule="auto"/>
              <w:rPr>
                <w:rFonts w:ascii="Times New Roman" w:hAnsi="Times New Roman" w:cs="Times New Roman"/>
                <w:bCs/>
                <w:sz w:val="20"/>
                <w:szCs w:val="20"/>
                <w:lang w:val="ro-RO" w:eastAsia="ro-RO"/>
              </w:rPr>
            </w:pPr>
            <w:r w:rsidRPr="00B03A08">
              <w:rPr>
                <w:rFonts w:ascii="Times New Roman" w:hAnsi="Times New Roman" w:cs="Times New Roman"/>
                <w:bCs/>
                <w:sz w:val="20"/>
                <w:szCs w:val="20"/>
                <w:lang w:val="ro-RO" w:eastAsia="ro-RO"/>
              </w:rPr>
              <w:t>a) dispozițiilor prezentei legi și ale legislaţiei sectoriale mai stricte care vizează asigurarea unui nivel superior de protecţie a contrapărţilor care furnizează instrumentele financiare;</w:t>
            </w:r>
          </w:p>
          <w:p w14:paraId="0CD3CBBF" w14:textId="77777777" w:rsidR="00B03A08" w:rsidRDefault="00B03A08" w:rsidP="00B03A08">
            <w:pPr>
              <w:spacing w:after="0" w:line="240" w:lineRule="auto"/>
              <w:rPr>
                <w:rFonts w:ascii="Times New Roman" w:hAnsi="Times New Roman" w:cs="Times New Roman"/>
                <w:b/>
                <w:sz w:val="20"/>
                <w:szCs w:val="20"/>
                <w:lang w:val="ro-RO" w:eastAsia="ro-RO"/>
              </w:rPr>
            </w:pPr>
            <w:r w:rsidRPr="00B03A08">
              <w:rPr>
                <w:rFonts w:ascii="Times New Roman" w:hAnsi="Times New Roman" w:cs="Times New Roman"/>
                <w:bCs/>
                <w:sz w:val="20"/>
                <w:szCs w:val="20"/>
                <w:lang w:val="ro-RO" w:eastAsia="ro-RO"/>
              </w:rPr>
              <w:t>b) dispozițiilor legislației privind nulitatea sau ineficiența actului juridic.</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43C2079" w14:textId="77777777" w:rsidR="00B03A08" w:rsidRDefault="00B03A08" w:rsidP="00B03A08">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01B6A3BE" w14:textId="77777777" w:rsidR="00263797" w:rsidRDefault="00263797" w:rsidP="00B03A08">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6B46512" w14:textId="77777777" w:rsidR="00B03A08"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26</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2F314" w14:textId="261F07DC" w:rsidR="00B03A08" w:rsidRPr="00F00B7C" w:rsidRDefault="00A81421" w:rsidP="00B03A08">
            <w:pPr>
              <w:tabs>
                <w:tab w:val="left" w:pos="1230"/>
              </w:tabs>
              <w:spacing w:after="0" w:line="240" w:lineRule="auto"/>
              <w:jc w:val="both"/>
              <w:rPr>
                <w:rFonts w:ascii="Times New Roman" w:hAnsi="Times New Roman" w:cs="Times New Roman"/>
                <w:sz w:val="20"/>
                <w:szCs w:val="20"/>
                <w:lang w:eastAsia="ro-RO"/>
              </w:rPr>
            </w:pPr>
            <w:r w:rsidRPr="00A81421">
              <w:rPr>
                <w:rFonts w:ascii="Times New Roman" w:hAnsi="Times New Roman" w:cs="Times New Roman"/>
                <w:sz w:val="20"/>
                <w:szCs w:val="20"/>
                <w:lang w:eastAsia="ro-RO"/>
              </w:rPr>
              <w:t>Atenționăm că, art. 130 alin. (5) utilizează o formulare insuficient determinată, prin care se face trimitere la „dispozițiile legislației sectoriale mai stricte”, fără a defini criteriile în raport cu care se apreciază caracterul „mai strict” al acestor norme. Utilizarea unui standard comparativ nedeterminat generează incertitudine juridică cu privire la ierarhia și corelarea normelor aplicabile, întrucât nu rezultă în mod clar dacă aprecierea gradului de strictețe aparține legiuitorului, autorității de supraveghere sau interpretării ulterioare a aplicatului normei. În lipsa unor criterii obiective de delimitare, această formulare poate conduce la dificultăți de determinare a regimului juridic aplicabil în situații de conflict de norme, afectând astfel principiul securității juridice și previzibilitatea reglementării. În acest context, se recomandă reformularea dispoziției prin indicarea expresă a tipurilor de acte</w:t>
            </w:r>
            <w:r>
              <w:rPr>
                <w:rFonts w:ascii="Times New Roman" w:hAnsi="Times New Roman" w:cs="Times New Roman"/>
                <w:sz w:val="20"/>
                <w:szCs w:val="20"/>
                <w:lang w:eastAsia="ro-RO"/>
              </w:rPr>
              <w:t xml:space="preserve"> </w:t>
            </w:r>
            <w:r w:rsidRPr="00A81421">
              <w:rPr>
                <w:rFonts w:ascii="Times New Roman" w:hAnsi="Times New Roman" w:cs="Times New Roman"/>
                <w:sz w:val="20"/>
                <w:szCs w:val="20"/>
                <w:lang w:eastAsia="ro-RO"/>
              </w:rPr>
              <w:t>normative vizate sau prin stabilirea unui criteriu clar de prioritate și aplicare în caz de suprapunere a reglementărilor.</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439A8" w14:textId="3D68100F" w:rsidR="00B03A08" w:rsidRDefault="002A5C3E" w:rsidP="00B03A08">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w:t>
            </w:r>
            <w:r w:rsidR="00B03A08" w:rsidRPr="00F00B7C">
              <w:rPr>
                <w:rFonts w:ascii="Times New Roman" w:hAnsi="Times New Roman" w:cs="Times New Roman"/>
                <w:b/>
                <w:sz w:val="20"/>
                <w:szCs w:val="20"/>
                <w:lang w:val="ro-RO" w:eastAsia="ro-RO"/>
              </w:rPr>
              <w:t>e acceptă</w:t>
            </w:r>
          </w:p>
          <w:p w14:paraId="4987A91C" w14:textId="77777777" w:rsidR="002A5C3E" w:rsidRDefault="00A70F3A" w:rsidP="00A70F3A">
            <w:pPr>
              <w:spacing w:after="0" w:line="240" w:lineRule="auto"/>
              <w:jc w:val="both"/>
              <w:rPr>
                <w:rFonts w:ascii="Times New Roman" w:hAnsi="Times New Roman" w:cs="Times New Roman"/>
                <w:bCs/>
                <w:sz w:val="20"/>
                <w:szCs w:val="20"/>
                <w:lang w:val="ro-RO" w:eastAsia="ro-RO"/>
              </w:rPr>
            </w:pPr>
            <w:r w:rsidRPr="00A70F3A">
              <w:rPr>
                <w:rFonts w:ascii="Times New Roman" w:hAnsi="Times New Roman" w:cs="Times New Roman"/>
                <w:bCs/>
                <w:sz w:val="20"/>
                <w:szCs w:val="20"/>
                <w:lang w:val="ro-RO" w:eastAsia="ro-RO"/>
              </w:rPr>
              <w:t>Sintagma „mai stricte</w:t>
            </w:r>
            <w:r>
              <w:rPr>
                <w:rFonts w:ascii="Times New Roman" w:hAnsi="Times New Roman" w:cs="Times New Roman"/>
                <w:bCs/>
                <w:sz w:val="20"/>
                <w:szCs w:val="20"/>
                <w:lang w:val="ro-RO" w:eastAsia="ro-RO"/>
              </w:rPr>
              <w:t>”</w:t>
            </w:r>
            <w:r w:rsidRPr="00A70F3A">
              <w:rPr>
                <w:rFonts w:ascii="Times New Roman" w:hAnsi="Times New Roman" w:cs="Times New Roman"/>
                <w:bCs/>
                <w:sz w:val="20"/>
                <w:szCs w:val="20"/>
                <w:lang w:val="ro-RO" w:eastAsia="ro-RO"/>
              </w:rPr>
              <w:t xml:space="preserve"> </w:t>
            </w:r>
            <w:r w:rsidR="002A5C3E">
              <w:rPr>
                <w:rFonts w:ascii="Times New Roman" w:hAnsi="Times New Roman" w:cs="Times New Roman"/>
                <w:bCs/>
                <w:sz w:val="20"/>
                <w:szCs w:val="20"/>
                <w:lang w:val="ro-RO" w:eastAsia="ro-RO"/>
              </w:rPr>
              <w:t>a fost exclusă.</w:t>
            </w:r>
          </w:p>
          <w:p w14:paraId="2155BDCB" w14:textId="21026CF7" w:rsidR="002A5C3E" w:rsidRPr="00A70F3A" w:rsidRDefault="00A70F3A" w:rsidP="002A5C3E">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 xml:space="preserve"> </w:t>
            </w:r>
          </w:p>
          <w:p w14:paraId="5C62024F" w14:textId="49379574" w:rsidR="00A70F3A" w:rsidRPr="00A70F3A" w:rsidRDefault="00A70F3A" w:rsidP="00A70F3A">
            <w:pPr>
              <w:spacing w:after="0" w:line="240" w:lineRule="auto"/>
              <w:jc w:val="both"/>
              <w:rPr>
                <w:rFonts w:ascii="Times New Roman" w:hAnsi="Times New Roman" w:cs="Times New Roman"/>
                <w:bCs/>
                <w:sz w:val="20"/>
                <w:szCs w:val="20"/>
                <w:lang w:val="ro-RO" w:eastAsia="ro-RO"/>
              </w:rPr>
            </w:pPr>
          </w:p>
        </w:tc>
      </w:tr>
      <w:tr w:rsidR="00B03A08" w:rsidRPr="009B7C97" w14:paraId="0B270BA4"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396FB4" w14:textId="77777777" w:rsidR="00B03A08" w:rsidRDefault="008860F7" w:rsidP="00B03A08">
            <w:pPr>
              <w:spacing w:after="0" w:line="240" w:lineRule="auto"/>
              <w:jc w:val="both"/>
              <w:rPr>
                <w:rFonts w:ascii="Times New Roman" w:hAnsi="Times New Roman" w:cs="Times New Roman"/>
                <w:b/>
                <w:sz w:val="20"/>
                <w:szCs w:val="20"/>
                <w:lang w:val="ro-RO" w:eastAsia="ro-RO"/>
              </w:rPr>
            </w:pPr>
            <w:r w:rsidRPr="008860F7">
              <w:rPr>
                <w:rFonts w:ascii="Times New Roman" w:hAnsi="Times New Roman" w:cs="Times New Roman"/>
                <w:b/>
                <w:sz w:val="20"/>
                <w:szCs w:val="20"/>
                <w:lang w:val="ro-RO" w:eastAsia="ro-RO"/>
              </w:rPr>
              <w:t>Articolul 141. Administrarea specială</w:t>
            </w:r>
          </w:p>
          <w:p w14:paraId="137EFDEC" w14:textId="77777777" w:rsidR="008860F7" w:rsidRPr="008860F7" w:rsidRDefault="008860F7" w:rsidP="008860F7">
            <w:pPr>
              <w:spacing w:after="0" w:line="240" w:lineRule="auto"/>
              <w:jc w:val="both"/>
              <w:rPr>
                <w:rFonts w:ascii="Times New Roman" w:hAnsi="Times New Roman" w:cs="Times New Roman"/>
                <w:bCs/>
                <w:sz w:val="20"/>
                <w:szCs w:val="20"/>
                <w:lang w:val="ro-RO" w:eastAsia="ro-RO"/>
              </w:rPr>
            </w:pPr>
            <w:r w:rsidRPr="008860F7">
              <w:rPr>
                <w:rFonts w:ascii="Times New Roman" w:hAnsi="Times New Roman" w:cs="Times New Roman"/>
                <w:bCs/>
                <w:sz w:val="20"/>
                <w:szCs w:val="20"/>
                <w:lang w:val="ro-RO" w:eastAsia="ro-RO"/>
              </w:rPr>
              <w:t>(2) CNPF instituie administrare specială în cazul în care constată că oricare din entitățile prevăzute la alin.(1):</w:t>
            </w:r>
          </w:p>
          <w:p w14:paraId="09DFFCB0" w14:textId="77777777" w:rsidR="008860F7" w:rsidRPr="008860F7" w:rsidRDefault="008860F7" w:rsidP="008860F7">
            <w:pPr>
              <w:spacing w:after="0" w:line="240" w:lineRule="auto"/>
              <w:jc w:val="both"/>
              <w:rPr>
                <w:rFonts w:ascii="Times New Roman" w:hAnsi="Times New Roman" w:cs="Times New Roman"/>
                <w:bCs/>
                <w:sz w:val="20"/>
                <w:szCs w:val="20"/>
                <w:lang w:val="ro-RO" w:eastAsia="ro-RO"/>
              </w:rPr>
            </w:pPr>
            <w:r w:rsidRPr="008860F7">
              <w:rPr>
                <w:rFonts w:ascii="Times New Roman" w:hAnsi="Times New Roman" w:cs="Times New Roman"/>
                <w:bCs/>
                <w:sz w:val="20"/>
                <w:szCs w:val="20"/>
                <w:lang w:val="ro-RO" w:eastAsia="ro-RO"/>
              </w:rPr>
              <w:t>a) se află în dificultate financiară, în sensul Legii insolvabilității nr.149/2012; sau</w:t>
            </w:r>
          </w:p>
          <w:p w14:paraId="70EDA285" w14:textId="77777777" w:rsidR="008860F7" w:rsidRDefault="008860F7" w:rsidP="008860F7">
            <w:pPr>
              <w:spacing w:after="0" w:line="240" w:lineRule="auto"/>
              <w:jc w:val="both"/>
              <w:rPr>
                <w:rFonts w:ascii="Times New Roman" w:hAnsi="Times New Roman" w:cs="Times New Roman"/>
                <w:bCs/>
                <w:sz w:val="20"/>
                <w:szCs w:val="20"/>
                <w:lang w:val="ro-RO" w:eastAsia="ro-RO"/>
              </w:rPr>
            </w:pPr>
            <w:r w:rsidRPr="008860F7">
              <w:rPr>
                <w:rFonts w:ascii="Times New Roman" w:hAnsi="Times New Roman" w:cs="Times New Roman"/>
                <w:bCs/>
                <w:sz w:val="20"/>
                <w:szCs w:val="20"/>
                <w:lang w:val="ro-RO" w:eastAsia="ro-RO"/>
              </w:rPr>
              <w:lastRenderedPageBreak/>
              <w:t>b) au încălcat prevederile prezentei legi ori ale actelor normative emise de CNPF, inclusiv cerințele prudențiale aplicabile față de acestea, care au produs sau pot produce prejudicii importante sau care pun în pericol funcţionarea ordonată a pieţei.</w:t>
            </w:r>
          </w:p>
          <w:p w14:paraId="6780C1CF" w14:textId="77777777" w:rsidR="008860F7" w:rsidRPr="008860F7" w:rsidRDefault="008860F7" w:rsidP="008860F7">
            <w:pPr>
              <w:spacing w:after="0" w:line="240" w:lineRule="auto"/>
              <w:jc w:val="both"/>
              <w:rPr>
                <w:rFonts w:ascii="Times New Roman" w:hAnsi="Times New Roman" w:cs="Times New Roman"/>
                <w:i/>
                <w:iCs/>
                <w:sz w:val="20"/>
                <w:szCs w:val="20"/>
                <w:lang w:val="ro-RO" w:eastAsia="ro-RO"/>
              </w:rPr>
            </w:pPr>
            <w:r w:rsidRPr="008860F7">
              <w:rPr>
                <w:rFonts w:ascii="Times New Roman" w:hAnsi="Times New Roman" w:cs="Times New Roman"/>
                <w:i/>
                <w:iCs/>
                <w:sz w:val="20"/>
                <w:szCs w:val="20"/>
                <w:lang w:val="ro-RO" w:eastAsia="ro-RO"/>
              </w:rPr>
              <w:t>[...]</w:t>
            </w:r>
          </w:p>
          <w:p w14:paraId="5198239A" w14:textId="77777777" w:rsidR="008860F7" w:rsidRDefault="008860F7" w:rsidP="008860F7">
            <w:pPr>
              <w:spacing w:after="0" w:line="240" w:lineRule="auto"/>
              <w:jc w:val="both"/>
              <w:rPr>
                <w:rFonts w:ascii="Times New Roman" w:hAnsi="Times New Roman" w:cs="Times New Roman"/>
                <w:sz w:val="20"/>
                <w:szCs w:val="20"/>
                <w:lang w:val="ro-RO" w:eastAsia="ro-RO"/>
              </w:rPr>
            </w:pPr>
            <w:r w:rsidRPr="008860F7">
              <w:rPr>
                <w:rFonts w:ascii="Times New Roman" w:hAnsi="Times New Roman" w:cs="Times New Roman"/>
                <w:sz w:val="20"/>
                <w:szCs w:val="20"/>
                <w:lang w:val="ro-RO" w:eastAsia="ro-RO"/>
              </w:rPr>
              <w:t>(14) În temeiul informaţiilor şi al concluziilor administratorului special, prevăzute în raportul prezentat spre aprobare, CNPF decide motivat:</w:t>
            </w:r>
          </w:p>
          <w:p w14:paraId="549A9905" w14:textId="77777777" w:rsidR="008860F7" w:rsidRPr="008860F7" w:rsidRDefault="008860F7" w:rsidP="008860F7">
            <w:pPr>
              <w:spacing w:after="0" w:line="240" w:lineRule="auto"/>
              <w:jc w:val="both"/>
              <w:rPr>
                <w:rFonts w:ascii="Times New Roman" w:hAnsi="Times New Roman" w:cs="Times New Roman"/>
                <w:i/>
                <w:iCs/>
                <w:sz w:val="20"/>
                <w:szCs w:val="20"/>
                <w:lang w:val="ro-RO" w:eastAsia="ro-RO"/>
              </w:rPr>
            </w:pPr>
            <w:r w:rsidRPr="008860F7">
              <w:rPr>
                <w:rFonts w:ascii="Times New Roman" w:hAnsi="Times New Roman" w:cs="Times New Roman"/>
                <w:i/>
                <w:iCs/>
                <w:sz w:val="20"/>
                <w:szCs w:val="20"/>
                <w:lang w:val="ro-RO" w:eastAsia="ro-RO"/>
              </w:rPr>
              <w:t>[...]</w:t>
            </w:r>
          </w:p>
          <w:p w14:paraId="49ED38FF" w14:textId="77777777" w:rsidR="008860F7" w:rsidRPr="00B03A08" w:rsidRDefault="008860F7" w:rsidP="008860F7">
            <w:pPr>
              <w:spacing w:after="0" w:line="240" w:lineRule="auto"/>
              <w:jc w:val="both"/>
              <w:rPr>
                <w:rFonts w:ascii="Times New Roman" w:hAnsi="Times New Roman" w:cs="Times New Roman"/>
                <w:b/>
                <w:sz w:val="20"/>
                <w:szCs w:val="20"/>
                <w:lang w:val="ro-RO" w:eastAsia="ro-RO"/>
              </w:rPr>
            </w:pPr>
            <w:r w:rsidRPr="008860F7">
              <w:rPr>
                <w:rFonts w:ascii="Times New Roman" w:hAnsi="Times New Roman" w:cs="Times New Roman"/>
                <w:sz w:val="20"/>
                <w:szCs w:val="20"/>
                <w:lang w:val="ro-RO" w:eastAsia="ro-RO"/>
              </w:rPr>
              <w:t>c) să retragă autorizația entității aflate în dificultate cu lichidarea silită a acesteia, sau în temeiul Legii insolvabilității nr.149/2012 să solicite instanței de judecată intentarea procesului de insolvabilitate a entității și să înainteze candidatura administratorului provizoriu/insolvabilității, în cazul în care CNPF estimează că, în timpul administrării speciale, situaţia financiară a entității aflate în dificultate nu s-a îmbunătăţit.</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CB062DC" w14:textId="77777777" w:rsidR="00B03A08" w:rsidRDefault="008860F7" w:rsidP="00B03A08">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Ministerul Justiției</w:t>
            </w:r>
          </w:p>
          <w:p w14:paraId="05CD4BB2" w14:textId="77777777" w:rsidR="00263797" w:rsidRDefault="00263797" w:rsidP="00B03A08">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FDDA0DD" w14:textId="77777777" w:rsidR="00B03A08"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27</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116C6" w14:textId="77777777" w:rsidR="00B03A08" w:rsidRPr="00F00B7C" w:rsidRDefault="00B03A08" w:rsidP="00B03A08">
            <w:pPr>
              <w:tabs>
                <w:tab w:val="left" w:pos="1230"/>
              </w:tabs>
              <w:spacing w:after="0" w:line="240" w:lineRule="auto"/>
              <w:jc w:val="both"/>
              <w:rPr>
                <w:rFonts w:ascii="Times New Roman" w:hAnsi="Times New Roman" w:cs="Times New Roman"/>
                <w:sz w:val="20"/>
                <w:szCs w:val="20"/>
                <w:lang w:eastAsia="ro-RO"/>
              </w:rPr>
            </w:pPr>
            <w:r w:rsidRPr="00F00B7C">
              <w:rPr>
                <w:rFonts w:ascii="Times New Roman" w:hAnsi="Times New Roman" w:cs="Times New Roman"/>
                <w:sz w:val="20"/>
                <w:szCs w:val="20"/>
                <w:lang w:eastAsia="ro-RO"/>
              </w:rPr>
              <w:t xml:space="preserve">Prevederile art.141 alin.(2) și alin. (14) lit.c) din proiect ridică probleme de corelare cu reglementările articolelor 10-14 și art.63 Legii insolvabilității nr.149/2012, în special în ceea ce privește delimitarea competențelor între autoritatea de supraveghere și instanța de judecată în materia declanșării și administrării procedurilor de insolvabilitate. Astfel, deși Legea nr.149/2012 stabilește în mod expres la art.10 – 13 temeiurile de intentare a </w:t>
            </w:r>
            <w:r w:rsidRPr="00F00B7C">
              <w:rPr>
                <w:rFonts w:ascii="Times New Roman" w:hAnsi="Times New Roman" w:cs="Times New Roman"/>
                <w:sz w:val="20"/>
                <w:szCs w:val="20"/>
                <w:lang w:eastAsia="ro-RO"/>
              </w:rPr>
              <w:lastRenderedPageBreak/>
              <w:t>procesului de insolvabilitate și persoanele îndreptățite să depună cererea introductivă, precum și rolul instanței de insolvabilitate, precum și de a înainta candidatura administratorului provizoriu sau a administratorului insolvabilității.</w:t>
            </w:r>
          </w:p>
          <w:p w14:paraId="6183979F" w14:textId="77777777" w:rsidR="00B03A08" w:rsidRPr="00F00B7C" w:rsidRDefault="00B03A08" w:rsidP="00B03A08">
            <w:pPr>
              <w:tabs>
                <w:tab w:val="left" w:pos="1230"/>
              </w:tabs>
              <w:spacing w:after="0" w:line="240" w:lineRule="auto"/>
              <w:jc w:val="both"/>
              <w:rPr>
                <w:rFonts w:ascii="Times New Roman" w:hAnsi="Times New Roman" w:cs="Times New Roman"/>
                <w:sz w:val="20"/>
                <w:szCs w:val="20"/>
                <w:lang w:eastAsia="ro-RO"/>
              </w:rPr>
            </w:pPr>
            <w:r w:rsidRPr="00F00B7C">
              <w:rPr>
                <w:rFonts w:ascii="Times New Roman" w:hAnsi="Times New Roman" w:cs="Times New Roman"/>
                <w:sz w:val="20"/>
                <w:szCs w:val="20"/>
                <w:lang w:eastAsia="ro-RO"/>
              </w:rPr>
              <w:t>Această configurare normativă poate fi interpretată ca o extindere a rolului autorității administrative dincolo de cadrul stabilit de legea generală a insolvabilității, întrucât inițierea efectivă a procedurii și desemnarea administratorului sunt elemente strict legate de creditorul și debitorul întreprinderii și supuse controlului instanței de judecată. În lipsa unei delimitări clare între atribuțiile de supraveghere prudențială ale CNPF și competențele jurisdicționale ale instanței, există riscul unei suprapuneri de competențe</w:t>
            </w:r>
            <w:r w:rsidR="00067621" w:rsidRPr="00F00B7C">
              <w:rPr>
                <w:rFonts w:ascii="Times New Roman" w:hAnsi="Times New Roman" w:cs="Times New Roman"/>
                <w:sz w:val="20"/>
                <w:szCs w:val="20"/>
                <w:lang w:eastAsia="ro-RO"/>
              </w:rPr>
              <w:t xml:space="preserve"> și al afectării principiului legalității în materia procedurilor de insolvabilitate, precum și al afectării rolului exclusiv al instanței în desemnarea administratorului conform art. 63 din Legea nr.149/2012.</w:t>
            </w:r>
          </w:p>
          <w:p w14:paraId="105CABF8" w14:textId="77777777" w:rsidR="00067621" w:rsidRPr="00F00B7C" w:rsidRDefault="00067621" w:rsidP="00B03A08">
            <w:pPr>
              <w:tabs>
                <w:tab w:val="left" w:pos="1230"/>
              </w:tabs>
              <w:spacing w:after="0" w:line="240" w:lineRule="auto"/>
              <w:jc w:val="both"/>
              <w:rPr>
                <w:rFonts w:ascii="Times New Roman" w:hAnsi="Times New Roman" w:cs="Times New Roman"/>
                <w:sz w:val="20"/>
                <w:szCs w:val="20"/>
                <w:lang w:eastAsia="ro-RO"/>
              </w:rPr>
            </w:pPr>
            <w:r w:rsidRPr="00F00B7C">
              <w:rPr>
                <w:rFonts w:ascii="Times New Roman" w:hAnsi="Times New Roman" w:cs="Times New Roman"/>
                <w:sz w:val="20"/>
                <w:szCs w:val="20"/>
                <w:lang w:eastAsia="ro-RO"/>
              </w:rPr>
              <w:t>Totodată, dreptul de a depune cererea introductivă aparține doar debitorului, creditorilor și altor subiecți expres prevăzuți de lege, iar deschiderea procedurii de insolvabilitate este de competența exclusivă a instanței de judecată, în condițiile și temeiurile stabilite de lege. În acest context</w:t>
            </w:r>
            <w:r w:rsidR="00D7758C" w:rsidRPr="00F00B7C">
              <w:rPr>
                <w:rFonts w:ascii="Times New Roman" w:hAnsi="Times New Roman" w:cs="Times New Roman"/>
                <w:sz w:val="20"/>
                <w:szCs w:val="20"/>
                <w:lang w:eastAsia="ro-RO"/>
              </w:rPr>
              <w:t>, atribuirea către CNPF a competenței de a institui administrarea specială și de a decide ulterior asupra oportunității solicitării intentării procesului de insolvabilitate, precum și asupra înaintării candidaturii administratorului provizoriu sau al insolvabilității, creează un mecanism instituțional derogatoriu care nu este reglementat de Legea nr.149/2012.</w:t>
            </w:r>
          </w:p>
          <w:p w14:paraId="4E3E1093" w14:textId="77777777" w:rsidR="00D7758C" w:rsidRPr="00F00B7C" w:rsidRDefault="00D7758C" w:rsidP="00B03A08">
            <w:pPr>
              <w:tabs>
                <w:tab w:val="left" w:pos="1230"/>
              </w:tabs>
              <w:spacing w:after="0" w:line="240" w:lineRule="auto"/>
              <w:jc w:val="both"/>
              <w:rPr>
                <w:rFonts w:ascii="Times New Roman" w:hAnsi="Times New Roman" w:cs="Times New Roman"/>
                <w:sz w:val="20"/>
                <w:szCs w:val="20"/>
                <w:lang w:eastAsia="ro-RO"/>
              </w:rPr>
            </w:pPr>
            <w:r w:rsidRPr="00F00B7C">
              <w:rPr>
                <w:rFonts w:ascii="Times New Roman" w:hAnsi="Times New Roman" w:cs="Times New Roman"/>
                <w:sz w:val="20"/>
                <w:szCs w:val="20"/>
                <w:lang w:eastAsia="ro-RO"/>
              </w:rPr>
              <w:t>Această configurație poate conduce la apariția unei etape administrative prealabile neprevăzute de legea insolvabilității, cu potențial de influențare indirectă a exercitării dreptului de sesizare a instanței și de afectare a rolului exclusiv al acesteia în deschiderea și gestionarea procedurii. În consecință, se impune clarificarea expresă a naturii juridice a intervenției CNPF, astfel încât aceasta să fie un mecanism paralel sau condiționat în raport cu procedura reglementată de Legea nr.149/2012.</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0EBC2E" w14:textId="77777777" w:rsidR="00D7758C" w:rsidRDefault="00AE2E43" w:rsidP="00B03A08">
            <w:pPr>
              <w:spacing w:after="0" w:line="240" w:lineRule="auto"/>
              <w:jc w:val="both"/>
              <w:rPr>
                <w:rFonts w:ascii="Times New Roman" w:hAnsi="Times New Roman" w:cs="Times New Roman"/>
                <w:b/>
                <w:sz w:val="20"/>
                <w:szCs w:val="20"/>
                <w:lang w:val="ro-RO" w:eastAsia="ro-RO"/>
              </w:rPr>
            </w:pPr>
            <w:r w:rsidRPr="00AE2E43">
              <w:rPr>
                <w:rFonts w:ascii="Times New Roman" w:hAnsi="Times New Roman" w:cs="Times New Roman"/>
                <w:b/>
                <w:sz w:val="20"/>
                <w:szCs w:val="20"/>
                <w:lang w:val="ro-RO" w:eastAsia="ro-RO"/>
              </w:rPr>
              <w:lastRenderedPageBreak/>
              <w:t>Se acceptă parțial</w:t>
            </w:r>
          </w:p>
          <w:p w14:paraId="56561650" w14:textId="77777777" w:rsidR="00AE2E43" w:rsidRDefault="00AE2E43" w:rsidP="00B03A08">
            <w:pPr>
              <w:spacing w:after="0" w:line="240" w:lineRule="auto"/>
              <w:jc w:val="both"/>
              <w:rPr>
                <w:rFonts w:ascii="Times New Roman" w:hAnsi="Times New Roman" w:cs="Times New Roman"/>
                <w:bCs/>
                <w:sz w:val="20"/>
                <w:szCs w:val="20"/>
                <w:lang w:eastAsia="ro-RO"/>
              </w:rPr>
            </w:pPr>
            <w:r>
              <w:rPr>
                <w:rFonts w:ascii="Times New Roman" w:hAnsi="Times New Roman" w:cs="Times New Roman"/>
                <w:bCs/>
                <w:sz w:val="20"/>
                <w:szCs w:val="20"/>
                <w:lang w:eastAsia="ro-RO"/>
              </w:rPr>
              <w:t>În privința art.141 alin.(2) – lit.a) se exclude. În privința art.141 alin.(4) lit.c) – se exclude sintagma „</w:t>
            </w:r>
            <w:r w:rsidRPr="008860F7">
              <w:rPr>
                <w:rFonts w:ascii="Times New Roman" w:hAnsi="Times New Roman" w:cs="Times New Roman"/>
                <w:sz w:val="20"/>
                <w:szCs w:val="20"/>
                <w:lang w:val="ro-RO" w:eastAsia="ro-RO"/>
              </w:rPr>
              <w:t>și să înainteze candidatura administratorului provizoriu/insolvabilității</w:t>
            </w:r>
            <w:r>
              <w:rPr>
                <w:rFonts w:ascii="Times New Roman" w:hAnsi="Times New Roman" w:cs="Times New Roman"/>
                <w:bCs/>
                <w:sz w:val="20"/>
                <w:szCs w:val="20"/>
                <w:lang w:eastAsia="ro-RO"/>
              </w:rPr>
              <w:t>”.</w:t>
            </w:r>
          </w:p>
          <w:p w14:paraId="3FA2E097" w14:textId="77777777" w:rsidR="00AE2E43" w:rsidRDefault="00AE2E43" w:rsidP="00B03A08">
            <w:pPr>
              <w:spacing w:after="0" w:line="240" w:lineRule="auto"/>
              <w:jc w:val="both"/>
              <w:rPr>
                <w:rFonts w:ascii="Times New Roman" w:hAnsi="Times New Roman" w:cs="Times New Roman"/>
                <w:bCs/>
                <w:sz w:val="20"/>
                <w:szCs w:val="20"/>
                <w:lang w:eastAsia="ro-RO"/>
              </w:rPr>
            </w:pPr>
          </w:p>
          <w:p w14:paraId="668EDF6A" w14:textId="77777777" w:rsidR="00AE2E43" w:rsidRPr="00AE2E43" w:rsidRDefault="00AE2E43" w:rsidP="00AE2E43">
            <w:pPr>
              <w:spacing w:after="0" w:line="240" w:lineRule="auto"/>
              <w:jc w:val="both"/>
              <w:rPr>
                <w:rFonts w:ascii="Times New Roman" w:hAnsi="Times New Roman" w:cs="Times New Roman"/>
                <w:bCs/>
                <w:sz w:val="20"/>
                <w:szCs w:val="20"/>
                <w:lang w:eastAsia="ro-RO"/>
              </w:rPr>
            </w:pPr>
            <w:r w:rsidRPr="00AE2E43">
              <w:rPr>
                <w:rFonts w:ascii="Times New Roman" w:hAnsi="Times New Roman" w:cs="Times New Roman"/>
                <w:bCs/>
                <w:sz w:val="20"/>
                <w:szCs w:val="20"/>
                <w:lang w:eastAsia="ro-RO"/>
              </w:rPr>
              <w:lastRenderedPageBreak/>
              <w:t>Nu se acceptă critica privind pretinsa lipsă de temei legal a rolului CNPF, întrucât competențele acesteia sunt expres recunoscute de Legea insolvabilității nr.149/2012, în secțiunea specială aplicabilă persoanelor licențiate sau autorizate pe piața de capital:</w:t>
            </w:r>
          </w:p>
          <w:p w14:paraId="121DC831" w14:textId="77777777" w:rsidR="00AE2E43" w:rsidRPr="00AE2E43" w:rsidRDefault="00AE2E43" w:rsidP="00AE2E43">
            <w:pPr>
              <w:spacing w:after="0" w:line="240" w:lineRule="auto"/>
              <w:jc w:val="both"/>
              <w:rPr>
                <w:rFonts w:ascii="Times New Roman" w:hAnsi="Times New Roman" w:cs="Times New Roman"/>
                <w:bCs/>
                <w:sz w:val="20"/>
                <w:szCs w:val="20"/>
                <w:lang w:eastAsia="ro-RO"/>
              </w:rPr>
            </w:pPr>
            <w:r w:rsidRPr="00AE2E43">
              <w:rPr>
                <w:rFonts w:ascii="Times New Roman" w:hAnsi="Times New Roman" w:cs="Times New Roman"/>
                <w:bCs/>
                <w:sz w:val="20"/>
                <w:szCs w:val="20"/>
                <w:lang w:eastAsia="ro-RO"/>
              </w:rPr>
              <w:t>– art.241 alin.(1) prevede că cererea introductivă privind insolvabilitatea unei astfel de persoane poate fi depusă, printre alții, de „autoritatea de stat abilitată cu funcții de reglementare pe piața valorilor mobiliare</w:t>
            </w:r>
            <w:r>
              <w:rPr>
                <w:rFonts w:ascii="Times New Roman" w:hAnsi="Times New Roman" w:cs="Times New Roman"/>
                <w:bCs/>
                <w:sz w:val="20"/>
                <w:szCs w:val="20"/>
                <w:lang w:eastAsia="ro-RO"/>
              </w:rPr>
              <w:t>”,</w:t>
            </w:r>
            <w:r w:rsidRPr="00AE2E43">
              <w:rPr>
                <w:rFonts w:ascii="Times New Roman" w:hAnsi="Times New Roman" w:cs="Times New Roman"/>
                <w:bCs/>
                <w:sz w:val="20"/>
                <w:szCs w:val="20"/>
                <w:lang w:eastAsia="ro-RO"/>
              </w:rPr>
              <w:t xml:space="preserve"> respectiv CNPF </w:t>
            </w:r>
            <w:r>
              <w:rPr>
                <w:rFonts w:ascii="Times New Roman" w:hAnsi="Times New Roman" w:cs="Times New Roman"/>
                <w:bCs/>
                <w:sz w:val="20"/>
                <w:szCs w:val="20"/>
                <w:lang w:eastAsia="ro-RO"/>
              </w:rPr>
              <w:t>–</w:t>
            </w:r>
            <w:r w:rsidRPr="00AE2E43">
              <w:rPr>
                <w:rFonts w:ascii="Times New Roman" w:hAnsi="Times New Roman" w:cs="Times New Roman"/>
                <w:bCs/>
                <w:sz w:val="20"/>
                <w:szCs w:val="20"/>
                <w:lang w:eastAsia="ro-RO"/>
              </w:rPr>
              <w:t xml:space="preserve"> dreptul CNPF de a sesiza instanța nefiind, așadar, un mecanism derogatoriu nereglementat, ci o competență conferită expres de legea generală a insolvabilității;</w:t>
            </w:r>
            <w:r>
              <w:rPr>
                <w:rFonts w:ascii="Times New Roman" w:hAnsi="Times New Roman" w:cs="Times New Roman"/>
                <w:bCs/>
                <w:sz w:val="20"/>
                <w:szCs w:val="20"/>
                <w:lang w:eastAsia="ro-RO"/>
              </w:rPr>
              <w:t xml:space="preserve"> și</w:t>
            </w:r>
          </w:p>
          <w:p w14:paraId="1B95BBBF" w14:textId="77777777" w:rsidR="00AE2E43" w:rsidRPr="00AE2E43" w:rsidRDefault="00AE2E43" w:rsidP="00AE2E43">
            <w:pPr>
              <w:spacing w:after="0" w:line="240" w:lineRule="auto"/>
              <w:jc w:val="both"/>
              <w:rPr>
                <w:rFonts w:ascii="Times New Roman" w:hAnsi="Times New Roman" w:cs="Times New Roman"/>
                <w:bCs/>
                <w:sz w:val="20"/>
                <w:szCs w:val="20"/>
                <w:lang w:eastAsia="ro-RO"/>
              </w:rPr>
            </w:pPr>
            <w:r w:rsidRPr="00AE2E43">
              <w:rPr>
                <w:rFonts w:ascii="Times New Roman" w:hAnsi="Times New Roman" w:cs="Times New Roman"/>
                <w:bCs/>
                <w:sz w:val="20"/>
                <w:szCs w:val="20"/>
                <w:lang w:eastAsia="ro-RO"/>
              </w:rPr>
              <w:t>– art.241 alin.(2) instituie participarea obligatorie a CNPF la examinarea acestor cauze</w:t>
            </w:r>
            <w:r>
              <w:rPr>
                <w:rFonts w:ascii="Times New Roman" w:hAnsi="Times New Roman" w:cs="Times New Roman"/>
                <w:bCs/>
                <w:sz w:val="20"/>
                <w:szCs w:val="20"/>
                <w:lang w:eastAsia="ro-RO"/>
              </w:rPr>
              <w:t>.</w:t>
            </w:r>
          </w:p>
          <w:p w14:paraId="5A504DDA" w14:textId="77777777" w:rsidR="00AE2E43" w:rsidRPr="00AE2E43" w:rsidRDefault="00AE2E43" w:rsidP="00AE2E43">
            <w:pPr>
              <w:spacing w:after="0" w:line="240" w:lineRule="auto"/>
              <w:jc w:val="both"/>
              <w:rPr>
                <w:rFonts w:ascii="Times New Roman" w:hAnsi="Times New Roman" w:cs="Times New Roman"/>
                <w:bCs/>
                <w:sz w:val="20"/>
                <w:szCs w:val="20"/>
                <w:lang w:eastAsia="ro-RO"/>
              </w:rPr>
            </w:pPr>
          </w:p>
          <w:p w14:paraId="55C77844" w14:textId="77777777" w:rsidR="00AE2E43" w:rsidRDefault="00AE2E43" w:rsidP="00AE2E43">
            <w:pPr>
              <w:spacing w:after="0" w:line="240" w:lineRule="auto"/>
              <w:jc w:val="both"/>
              <w:rPr>
                <w:rFonts w:ascii="Times New Roman" w:hAnsi="Times New Roman" w:cs="Times New Roman"/>
                <w:bCs/>
                <w:sz w:val="20"/>
                <w:szCs w:val="20"/>
                <w:lang w:eastAsia="ro-RO"/>
              </w:rPr>
            </w:pPr>
            <w:r w:rsidRPr="00AE2E43">
              <w:rPr>
                <w:rFonts w:ascii="Times New Roman" w:hAnsi="Times New Roman" w:cs="Times New Roman"/>
                <w:bCs/>
                <w:sz w:val="20"/>
                <w:szCs w:val="20"/>
                <w:lang w:eastAsia="ro-RO"/>
              </w:rPr>
              <w:t xml:space="preserve">În acest cadru, delimitarea competențelor este respectată: administrarea specială este o măsură administrativă de supraveghere, distinctă de procedura de insolvabilitate; CNPF nu deschide procedura și nu desemnează administratorul, ci doar exercită dreptul de sesizare conferit de art.241 alin.(1) din Legea nr.149/2012, decizia privind intentarea procedurii și desemnarea administratorului rămânând în competența exclusivă a instanței de judecată (art.63 din Legea nr.149/2012). </w:t>
            </w:r>
          </w:p>
          <w:p w14:paraId="605D9AE6" w14:textId="77777777" w:rsidR="00AE2E43" w:rsidRPr="00AE2E43" w:rsidRDefault="00AE2E43" w:rsidP="00AE2E43">
            <w:pPr>
              <w:spacing w:after="0" w:line="240" w:lineRule="auto"/>
              <w:jc w:val="both"/>
              <w:rPr>
                <w:rFonts w:ascii="Times New Roman" w:hAnsi="Times New Roman" w:cs="Times New Roman"/>
                <w:bCs/>
                <w:sz w:val="20"/>
                <w:szCs w:val="20"/>
                <w:lang w:eastAsia="ro-RO"/>
              </w:rPr>
            </w:pPr>
            <w:r w:rsidRPr="00AE2E43">
              <w:rPr>
                <w:rFonts w:ascii="Times New Roman" w:hAnsi="Times New Roman" w:cs="Times New Roman"/>
                <w:bCs/>
                <w:sz w:val="20"/>
                <w:szCs w:val="20"/>
                <w:lang w:eastAsia="ro-RO"/>
              </w:rPr>
              <w:t>De altfel, art.141 alin.(14) lit.c)</w:t>
            </w:r>
            <w:r>
              <w:rPr>
                <w:rFonts w:ascii="Times New Roman" w:hAnsi="Times New Roman" w:cs="Times New Roman"/>
                <w:bCs/>
                <w:sz w:val="20"/>
                <w:szCs w:val="20"/>
                <w:lang w:eastAsia="ro-RO"/>
              </w:rPr>
              <w:t xml:space="preserve"> din proiect</w:t>
            </w:r>
            <w:r w:rsidRPr="00AE2E43">
              <w:rPr>
                <w:rFonts w:ascii="Times New Roman" w:hAnsi="Times New Roman" w:cs="Times New Roman"/>
                <w:bCs/>
                <w:sz w:val="20"/>
                <w:szCs w:val="20"/>
                <w:lang w:eastAsia="ro-RO"/>
              </w:rPr>
              <w:t xml:space="preserve"> prevede expres că solicitarea se formulează „în temeiul Legii insolvabilității nr.149/2012</w:t>
            </w:r>
            <w:r w:rsidR="009C0D8F">
              <w:rPr>
                <w:rFonts w:ascii="Times New Roman" w:hAnsi="Times New Roman" w:cs="Times New Roman"/>
                <w:bCs/>
                <w:sz w:val="20"/>
                <w:szCs w:val="20"/>
                <w:lang w:eastAsia="ro-RO"/>
              </w:rPr>
              <w:t>”</w:t>
            </w:r>
            <w:r w:rsidRPr="00AE2E43">
              <w:rPr>
                <w:rFonts w:ascii="Times New Roman" w:hAnsi="Times New Roman" w:cs="Times New Roman"/>
                <w:bCs/>
                <w:sz w:val="20"/>
                <w:szCs w:val="20"/>
                <w:lang w:eastAsia="ro-RO"/>
              </w:rPr>
              <w:t>, deci cu respectarea acesteia.</w:t>
            </w:r>
          </w:p>
          <w:p w14:paraId="020C4D5D" w14:textId="77777777" w:rsidR="00AE2E43" w:rsidRPr="00AE2E43" w:rsidRDefault="00AE2E43" w:rsidP="00AE2E43">
            <w:pPr>
              <w:spacing w:after="0" w:line="240" w:lineRule="auto"/>
              <w:jc w:val="both"/>
              <w:rPr>
                <w:rFonts w:ascii="Times New Roman" w:hAnsi="Times New Roman" w:cs="Times New Roman"/>
                <w:bCs/>
                <w:sz w:val="20"/>
                <w:szCs w:val="20"/>
                <w:lang w:eastAsia="ro-RO"/>
              </w:rPr>
            </w:pPr>
          </w:p>
          <w:p w14:paraId="2D009A2A" w14:textId="77777777" w:rsidR="00AE2E43" w:rsidRPr="00AE2E43" w:rsidRDefault="00AE2E43" w:rsidP="009C0D8F">
            <w:pPr>
              <w:spacing w:after="0" w:line="240" w:lineRule="auto"/>
              <w:jc w:val="both"/>
              <w:rPr>
                <w:rFonts w:ascii="Times New Roman" w:hAnsi="Times New Roman" w:cs="Times New Roman"/>
                <w:bCs/>
                <w:sz w:val="20"/>
                <w:szCs w:val="20"/>
                <w:lang w:eastAsia="ro-RO"/>
              </w:rPr>
            </w:pPr>
            <w:r w:rsidRPr="00AE2E43">
              <w:rPr>
                <w:rFonts w:ascii="Times New Roman" w:hAnsi="Times New Roman" w:cs="Times New Roman"/>
                <w:bCs/>
                <w:sz w:val="20"/>
                <w:szCs w:val="20"/>
                <w:lang w:eastAsia="ro-RO"/>
              </w:rPr>
              <w:t>Eventualele ajustări de corelare dintre cele două legi vor fi asigurate, suplimentar, prin mecanismul prevăzut la art.168 alin.(3) lit.a) din proiect, potrivit căruia Guvernul, în comun cu CNPF, prezintă Parlamentului propuneri privind aducerea legislației în concordanță cu prezenta lege.</w:t>
            </w:r>
          </w:p>
        </w:tc>
      </w:tr>
      <w:tr w:rsidR="00D7758C" w:rsidRPr="009B7C97" w14:paraId="314D3E1B"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6368A" w14:textId="77777777" w:rsidR="008860F7" w:rsidRPr="008860F7" w:rsidRDefault="008860F7" w:rsidP="008860F7">
            <w:pPr>
              <w:spacing w:after="0" w:line="240" w:lineRule="auto"/>
              <w:jc w:val="both"/>
              <w:rPr>
                <w:rFonts w:ascii="Times New Roman" w:hAnsi="Times New Roman" w:cs="Times New Roman"/>
                <w:b/>
                <w:sz w:val="20"/>
                <w:szCs w:val="20"/>
                <w:lang w:val="ro-RO" w:eastAsia="ro-RO"/>
              </w:rPr>
            </w:pPr>
            <w:r w:rsidRPr="008860F7">
              <w:rPr>
                <w:rFonts w:ascii="Times New Roman" w:hAnsi="Times New Roman" w:cs="Times New Roman"/>
                <w:b/>
                <w:sz w:val="20"/>
                <w:szCs w:val="20"/>
                <w:lang w:val="ro-RO" w:eastAsia="ro-RO"/>
              </w:rPr>
              <w:lastRenderedPageBreak/>
              <w:t>Articolul 145. Faptele sancționabile</w:t>
            </w:r>
          </w:p>
          <w:p w14:paraId="47975387" w14:textId="77777777" w:rsidR="00D7758C" w:rsidRDefault="008860F7" w:rsidP="008860F7">
            <w:pPr>
              <w:spacing w:after="0" w:line="240" w:lineRule="auto"/>
              <w:jc w:val="both"/>
              <w:rPr>
                <w:rFonts w:ascii="Times New Roman" w:hAnsi="Times New Roman" w:cs="Times New Roman"/>
                <w:bCs/>
                <w:sz w:val="20"/>
                <w:szCs w:val="20"/>
                <w:lang w:val="ro-RO" w:eastAsia="ro-RO"/>
              </w:rPr>
            </w:pPr>
            <w:r w:rsidRPr="008860F7">
              <w:rPr>
                <w:rFonts w:ascii="Times New Roman" w:hAnsi="Times New Roman" w:cs="Times New Roman"/>
                <w:bCs/>
                <w:sz w:val="20"/>
                <w:szCs w:val="20"/>
                <w:lang w:val="ro-RO" w:eastAsia="ro-RO"/>
              </w:rPr>
              <w:t>(1) CNPF are competenţa de a aplica sancțiunile şi măsurile sancționatoare prevăzute la art.146 în toate cazurile în care constată că persoanele prevăzute la art.2 sau, după caz, la art.24, art.87, art.101 sau art.123 alin.(6), în mod intenționat sau din neglijență:</w:t>
            </w:r>
          </w:p>
          <w:p w14:paraId="136C4494" w14:textId="77777777" w:rsidR="008860F7" w:rsidRPr="008860F7" w:rsidRDefault="008860F7" w:rsidP="008860F7">
            <w:pPr>
              <w:spacing w:after="0" w:line="240" w:lineRule="auto"/>
              <w:jc w:val="both"/>
              <w:rPr>
                <w:rFonts w:ascii="Times New Roman" w:hAnsi="Times New Roman" w:cs="Times New Roman"/>
                <w:i/>
                <w:iCs/>
                <w:sz w:val="20"/>
                <w:szCs w:val="20"/>
                <w:lang w:val="ro-RO" w:eastAsia="ro-RO"/>
              </w:rPr>
            </w:pPr>
            <w:r w:rsidRPr="008860F7">
              <w:rPr>
                <w:rFonts w:ascii="Times New Roman" w:hAnsi="Times New Roman" w:cs="Times New Roman"/>
                <w:i/>
                <w:iCs/>
                <w:sz w:val="20"/>
                <w:szCs w:val="20"/>
                <w:lang w:val="ro-RO" w:eastAsia="ro-RO"/>
              </w:rPr>
              <w:t>[...]</w:t>
            </w:r>
          </w:p>
          <w:p w14:paraId="3B8F8FC6" w14:textId="77777777" w:rsidR="008860F7" w:rsidRPr="008860F7" w:rsidRDefault="008860F7" w:rsidP="008860F7">
            <w:pPr>
              <w:spacing w:after="0" w:line="240" w:lineRule="auto"/>
              <w:jc w:val="both"/>
              <w:rPr>
                <w:rFonts w:ascii="Times New Roman" w:hAnsi="Times New Roman" w:cs="Times New Roman"/>
                <w:bCs/>
                <w:sz w:val="20"/>
                <w:szCs w:val="20"/>
                <w:lang w:val="ro-RO" w:eastAsia="ro-RO"/>
              </w:rPr>
            </w:pPr>
            <w:r w:rsidRPr="008860F7">
              <w:rPr>
                <w:rFonts w:ascii="Times New Roman" w:hAnsi="Times New Roman" w:cs="Times New Roman"/>
                <w:bCs/>
                <w:sz w:val="20"/>
                <w:szCs w:val="20"/>
                <w:lang w:val="ro-RO" w:eastAsia="ro-RO"/>
              </w:rPr>
              <w:t>11) nu respectă în permanență cel puțin una dintre condițiile impuse la autorizarea iniţială, contrar prevederilor art.45 lit.a) sau, după caz, art.78 alin.(13);</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D8B66A4" w14:textId="77777777" w:rsidR="00D7758C" w:rsidRDefault="008860F7" w:rsidP="00B03A08">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37ED4E89" w14:textId="77777777" w:rsidR="00263797" w:rsidRDefault="00263797" w:rsidP="00B03A08">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5EAB703" w14:textId="77777777" w:rsidR="00D7758C" w:rsidRDefault="005313AD"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28</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BAE61" w14:textId="77777777" w:rsidR="00D7758C" w:rsidRPr="002348F0" w:rsidRDefault="00D7758C" w:rsidP="00B03A08">
            <w:pPr>
              <w:tabs>
                <w:tab w:val="left" w:pos="1230"/>
              </w:tabs>
              <w:spacing w:after="0" w:line="240" w:lineRule="auto"/>
              <w:jc w:val="both"/>
              <w:rPr>
                <w:rFonts w:ascii="Times New Roman" w:hAnsi="Times New Roman" w:cs="Times New Roman"/>
                <w:sz w:val="20"/>
                <w:szCs w:val="20"/>
                <w:lang w:eastAsia="ro-RO"/>
              </w:rPr>
            </w:pPr>
            <w:r w:rsidRPr="002348F0">
              <w:rPr>
                <w:rFonts w:ascii="Times New Roman" w:hAnsi="Times New Roman" w:cs="Times New Roman"/>
                <w:sz w:val="20"/>
                <w:szCs w:val="20"/>
                <w:lang w:eastAsia="ro-RO"/>
              </w:rPr>
              <w:t>Art.145 alin.(1) pct.11) utilizează cuvintele „nu respectă în permanență cel puțin una dintre condițiile impuse la autorizarea inițială”, formulare care introduce un standard de conformitate continuă insuficient determinat din punct de vedere juridic. Utilizarea noțiunii de „permanență” nu este însoțită de criterii privind momentul, durata sau intensitatea neconformității relevante, ceea ce poate conduce la dificultăți de delimitare între abateri temporare, de natură tehnică sau accidentală, și încălcări substanțiale ale condițiilor de autorizare. În acest context, formularea propusă afectează previzibilitatea regimului sancționator și poate genera o aplicare neuniformă a legii, motiv pentru care se recomandă reformularea dispoziției prin stabilirea expresă a caracterului material și a duratei relevante a neconformității.</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DD933B" w14:textId="77777777" w:rsidR="00D7758C" w:rsidRDefault="00CE64C6" w:rsidP="00B03A08">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w:t>
            </w:r>
            <w:r w:rsidR="008860F7" w:rsidRPr="002348F0">
              <w:rPr>
                <w:rFonts w:ascii="Times New Roman" w:hAnsi="Times New Roman" w:cs="Times New Roman"/>
                <w:b/>
                <w:sz w:val="20"/>
                <w:szCs w:val="20"/>
                <w:lang w:val="ro-RO" w:eastAsia="ro-RO"/>
              </w:rPr>
              <w:t>e acceptă</w:t>
            </w:r>
          </w:p>
          <w:p w14:paraId="7E663005" w14:textId="77777777" w:rsidR="00CE64C6" w:rsidRPr="00CE64C6" w:rsidRDefault="00CE64C6" w:rsidP="00B03A08">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Acest punct</w:t>
            </w:r>
            <w:r w:rsidRPr="00CE64C6">
              <w:rPr>
                <w:rFonts w:ascii="Times New Roman" w:hAnsi="Times New Roman" w:cs="Times New Roman"/>
                <w:bCs/>
                <w:sz w:val="20"/>
                <w:szCs w:val="20"/>
                <w:lang w:val="ro-RO" w:eastAsia="ro-RO"/>
              </w:rPr>
              <w:t xml:space="preserve"> a fost reformulat astfel încât sancțiunea să nu intervină pentru orice neconformitate momentană, de natură tehnică sau accidentală, ci numai în cazul în care aceasta este de natură să afecteze în mod semnificativ interesele investitorilor ori funcționarea ordonată a pieței</w:t>
            </w:r>
            <w:r w:rsidR="00710B05">
              <w:rPr>
                <w:rFonts w:ascii="Times New Roman" w:hAnsi="Times New Roman" w:cs="Times New Roman"/>
                <w:bCs/>
                <w:sz w:val="20"/>
                <w:szCs w:val="20"/>
                <w:lang w:val="ro-RO" w:eastAsia="ro-RO"/>
              </w:rPr>
              <w:t>.</w:t>
            </w:r>
          </w:p>
        </w:tc>
      </w:tr>
      <w:tr w:rsidR="00D7758C" w:rsidRPr="009B7C97" w14:paraId="6080FB3E"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4693F" w14:textId="77777777" w:rsidR="008860F7" w:rsidRPr="00CE64C6" w:rsidRDefault="008860F7" w:rsidP="008860F7">
            <w:pPr>
              <w:spacing w:after="0" w:line="240" w:lineRule="auto"/>
              <w:jc w:val="both"/>
              <w:rPr>
                <w:rFonts w:ascii="Times New Roman" w:hAnsi="Times New Roman" w:cs="Times New Roman"/>
                <w:b/>
                <w:sz w:val="20"/>
                <w:szCs w:val="20"/>
                <w:lang w:val="ro-RO" w:eastAsia="ro-RO"/>
              </w:rPr>
            </w:pPr>
            <w:r w:rsidRPr="00CE64C6">
              <w:rPr>
                <w:rFonts w:ascii="Times New Roman" w:hAnsi="Times New Roman" w:cs="Times New Roman"/>
                <w:b/>
                <w:sz w:val="20"/>
                <w:szCs w:val="20"/>
                <w:lang w:val="ro-RO" w:eastAsia="ro-RO"/>
              </w:rPr>
              <w:t>Articolul 146. Sancțiunile și măsurile sancționatoare aplicabile</w:t>
            </w:r>
          </w:p>
          <w:p w14:paraId="7056951D" w14:textId="77777777" w:rsidR="00D7758C" w:rsidRPr="00CE64C6" w:rsidRDefault="008860F7" w:rsidP="008860F7">
            <w:pPr>
              <w:spacing w:after="0" w:line="240" w:lineRule="auto"/>
              <w:jc w:val="both"/>
              <w:rPr>
                <w:rFonts w:ascii="Times New Roman" w:hAnsi="Times New Roman" w:cs="Times New Roman"/>
                <w:bCs/>
                <w:sz w:val="20"/>
                <w:szCs w:val="20"/>
                <w:lang w:val="ro-RO" w:eastAsia="ro-RO"/>
              </w:rPr>
            </w:pPr>
            <w:r w:rsidRPr="00CE64C6">
              <w:rPr>
                <w:rFonts w:ascii="Times New Roman" w:hAnsi="Times New Roman" w:cs="Times New Roman"/>
                <w:bCs/>
                <w:sz w:val="20"/>
                <w:szCs w:val="20"/>
                <w:lang w:val="ro-RO" w:eastAsia="ro-RO"/>
              </w:rPr>
              <w:t>(1) Sancţiunile care pot fi aplicate potrivit prezentei legi sunt:</w:t>
            </w:r>
          </w:p>
          <w:p w14:paraId="44A363DC" w14:textId="77777777" w:rsidR="008860F7" w:rsidRPr="00CE64C6" w:rsidRDefault="008860F7" w:rsidP="008860F7">
            <w:pPr>
              <w:spacing w:after="0" w:line="240" w:lineRule="auto"/>
              <w:jc w:val="both"/>
              <w:rPr>
                <w:rFonts w:ascii="Times New Roman" w:hAnsi="Times New Roman" w:cs="Times New Roman"/>
                <w:i/>
                <w:iCs/>
                <w:sz w:val="20"/>
                <w:szCs w:val="20"/>
                <w:lang w:val="ro-RO" w:eastAsia="ro-RO"/>
              </w:rPr>
            </w:pPr>
            <w:r w:rsidRPr="00CE64C6">
              <w:rPr>
                <w:rFonts w:ascii="Times New Roman" w:hAnsi="Times New Roman" w:cs="Times New Roman"/>
                <w:i/>
                <w:iCs/>
                <w:sz w:val="20"/>
                <w:szCs w:val="20"/>
                <w:lang w:val="ro-RO" w:eastAsia="ro-RO"/>
              </w:rPr>
              <w:t>[...]</w:t>
            </w:r>
          </w:p>
          <w:p w14:paraId="4B3ABF2B" w14:textId="77777777" w:rsidR="008860F7" w:rsidRPr="00CE64C6" w:rsidRDefault="008860F7" w:rsidP="008860F7">
            <w:pPr>
              <w:spacing w:after="0" w:line="240" w:lineRule="auto"/>
              <w:jc w:val="both"/>
              <w:rPr>
                <w:rFonts w:ascii="Times New Roman" w:hAnsi="Times New Roman" w:cs="Times New Roman"/>
                <w:bCs/>
                <w:sz w:val="20"/>
                <w:szCs w:val="20"/>
                <w:lang w:val="ro-RO" w:eastAsia="ro-RO"/>
              </w:rPr>
            </w:pPr>
            <w:r w:rsidRPr="00CE64C6">
              <w:rPr>
                <w:rFonts w:ascii="Times New Roman" w:hAnsi="Times New Roman" w:cs="Times New Roman"/>
                <w:bCs/>
                <w:sz w:val="20"/>
                <w:szCs w:val="20"/>
                <w:lang w:val="ro-RO" w:eastAsia="ro-RO"/>
              </w:rPr>
              <w:t>e) amendă aplicabilă persoanei fizice sau persoanei juridice, egală cu până la valoarea dublă a profitului obţinut sau a pierderilor evitate ca urmare a încălcării, dacă acestea pot fi determinate, chiar dacă aceasta depășește cuantumurile maxime prevăzute la lit.c) și d).</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7C4C311" w14:textId="77777777" w:rsidR="00D7758C" w:rsidRPr="00CE64C6" w:rsidRDefault="008860F7" w:rsidP="00B03A08">
            <w:pPr>
              <w:spacing w:after="0" w:line="240" w:lineRule="auto"/>
              <w:rPr>
                <w:rFonts w:ascii="Times New Roman" w:eastAsia="Times New Roman" w:hAnsi="Times New Roman" w:cs="Times New Roman"/>
                <w:b/>
                <w:bCs/>
                <w:sz w:val="20"/>
                <w:szCs w:val="20"/>
                <w:lang w:eastAsia="ro-RO"/>
              </w:rPr>
            </w:pPr>
            <w:r w:rsidRPr="00CE64C6">
              <w:rPr>
                <w:rFonts w:ascii="Times New Roman" w:eastAsia="Times New Roman" w:hAnsi="Times New Roman" w:cs="Times New Roman"/>
                <w:b/>
                <w:bCs/>
                <w:sz w:val="20"/>
                <w:szCs w:val="20"/>
                <w:lang w:eastAsia="ro-RO"/>
              </w:rPr>
              <w:t>Ministerul Justiției</w:t>
            </w:r>
          </w:p>
          <w:p w14:paraId="427C32F9" w14:textId="77777777" w:rsidR="00263797" w:rsidRPr="00CE64C6" w:rsidRDefault="00263797" w:rsidP="00B03A08">
            <w:pPr>
              <w:spacing w:after="0" w:line="240" w:lineRule="auto"/>
              <w:rPr>
                <w:rFonts w:ascii="Times New Roman" w:eastAsia="Times New Roman" w:hAnsi="Times New Roman" w:cs="Times New Roman"/>
                <w:b/>
                <w:bCs/>
                <w:sz w:val="20"/>
                <w:szCs w:val="20"/>
                <w:lang w:eastAsia="ro-RO"/>
              </w:rPr>
            </w:pPr>
            <w:r w:rsidRPr="00CE64C6">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31BC6575" w14:textId="77777777" w:rsidR="00D7758C" w:rsidRPr="00CE64C6" w:rsidRDefault="005313AD" w:rsidP="00CE1798">
            <w:pPr>
              <w:spacing w:after="0" w:line="240" w:lineRule="auto"/>
              <w:jc w:val="center"/>
              <w:rPr>
                <w:rFonts w:ascii="Times New Roman" w:eastAsia="Times New Roman" w:hAnsi="Times New Roman" w:cs="Times New Roman"/>
                <w:b/>
                <w:bCs/>
                <w:sz w:val="20"/>
                <w:szCs w:val="20"/>
                <w:lang w:eastAsia="ro-RO"/>
              </w:rPr>
            </w:pPr>
            <w:r w:rsidRPr="00CE64C6">
              <w:rPr>
                <w:rFonts w:ascii="Times New Roman" w:eastAsia="Times New Roman" w:hAnsi="Times New Roman" w:cs="Times New Roman"/>
                <w:b/>
                <w:bCs/>
                <w:sz w:val="20"/>
                <w:szCs w:val="20"/>
                <w:lang w:eastAsia="ro-RO"/>
              </w:rPr>
              <w:t>29</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CFBAB" w14:textId="77777777" w:rsidR="00D7758C" w:rsidRPr="00CE64C6" w:rsidRDefault="001B13FF" w:rsidP="00B03A08">
            <w:pPr>
              <w:tabs>
                <w:tab w:val="left" w:pos="1230"/>
              </w:tabs>
              <w:spacing w:after="0" w:line="240" w:lineRule="auto"/>
              <w:jc w:val="both"/>
              <w:rPr>
                <w:rFonts w:ascii="Times New Roman" w:hAnsi="Times New Roman" w:cs="Times New Roman"/>
                <w:sz w:val="20"/>
                <w:szCs w:val="20"/>
                <w:lang w:eastAsia="ro-RO"/>
              </w:rPr>
            </w:pPr>
            <w:r w:rsidRPr="00CE64C6">
              <w:rPr>
                <w:rFonts w:ascii="Times New Roman" w:hAnsi="Times New Roman" w:cs="Times New Roman"/>
                <w:sz w:val="20"/>
                <w:szCs w:val="20"/>
                <w:lang w:eastAsia="ro-RO"/>
              </w:rPr>
              <w:t xml:space="preserve">Prevederile art.146 alin.(1) lit.e) instituie o sancțiune sub forma amenzii echivalente cu până la dublul profitului obținut sau al pierderilor evitate ca urmare a încălcării, fără a stabili însă criterii metodologice de determinare a acestui cuantum, modalitatea de calcul, perioada de referință sau standardele contabile aplicabile. În lipsa unor asemenea elemente de determinare, aplicarea sancțiunii depinde de evaluări economice complexe, lăsate neexplicit la discreția autorității de supraveghere, ceea ce poate genera incertitudine juridică și practici neuniforme de calcul, perioada de referință sau standardele contabile aplicabile. În lipsa unor asemenea elemente de determinare, aplicarea sancțiunii depinde de evaluări economice complexe, lăsate neexplicit la discreția autorității de supraveghere, ceea ce poate genera incertitudine juridică și practici neuniforme de calcul. Totodată, absența unei proceduri clare de stabilire și verificare a profitului obținut sau a pierderilor evitate </w:t>
            </w:r>
            <w:r w:rsidRPr="00CE64C6">
              <w:rPr>
                <w:rFonts w:ascii="Times New Roman" w:hAnsi="Times New Roman" w:cs="Times New Roman"/>
                <w:sz w:val="20"/>
                <w:szCs w:val="20"/>
                <w:lang w:eastAsia="ro-RO"/>
              </w:rPr>
              <w:lastRenderedPageBreak/>
              <w:t>afectează previzibilitatea sancțiunii și limitează posibilitatea unei contestări efective, întrucât destinatarul normei nu poate anticipa ex ante criteriile exacte de determinare a cuantumului amenzii. În context, se impune completarea dispoziției prin stabilirea unei metodologii clare de calcul sau prin trimitere expresă la standardele contabile și procedurale aplicabile, astfel încât sancțiunea să respecte cerințele de claritate, previzibilitate și proporționalitate.</w:t>
            </w:r>
          </w:p>
          <w:p w14:paraId="729F9181" w14:textId="77777777" w:rsidR="001B13FF" w:rsidRPr="00CE64C6" w:rsidRDefault="001B13FF" w:rsidP="00B03A08">
            <w:pPr>
              <w:tabs>
                <w:tab w:val="left" w:pos="1230"/>
              </w:tabs>
              <w:spacing w:after="0" w:line="240" w:lineRule="auto"/>
              <w:jc w:val="both"/>
              <w:rPr>
                <w:rFonts w:ascii="Times New Roman" w:hAnsi="Times New Roman" w:cs="Times New Roman"/>
                <w:sz w:val="20"/>
                <w:szCs w:val="20"/>
                <w:lang w:eastAsia="ro-RO"/>
              </w:rPr>
            </w:pPr>
            <w:r w:rsidRPr="00CE64C6">
              <w:rPr>
                <w:rFonts w:ascii="Times New Roman" w:hAnsi="Times New Roman" w:cs="Times New Roman"/>
                <w:sz w:val="20"/>
                <w:szCs w:val="20"/>
                <w:lang w:eastAsia="ro-RO"/>
              </w:rPr>
              <w:t>Mai mult, cuvintele „dacă acestea pot fi determinate” nu înlătură incertitudinea juridică privind aplicarea sancțiunii prevăzute la art.146 alin.(1) lit.e), întrucât nu sunt stabilite criteriile, metodologia sau standardele de determinare a profitului obținut ori a pierderilor evitate. În lipsa unor asemenea repere normative, aplicarea dispoziției rămâne dependentă de evaluări cazuale ale autorității, ceea ce afectează previzibilitatea sancțiunii și poate conduce la practici neuniforme.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DFF84" w14:textId="77777777" w:rsidR="00D7758C" w:rsidRDefault="00CE64C6" w:rsidP="00B03A08">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
                <w:sz w:val="20"/>
                <w:szCs w:val="20"/>
                <w:lang w:val="ro-RO" w:eastAsia="ro-RO"/>
              </w:rPr>
              <w:lastRenderedPageBreak/>
              <w:t>Nu se acceptă</w:t>
            </w:r>
          </w:p>
          <w:p w14:paraId="3E605C52" w14:textId="77777777" w:rsidR="00E977E5" w:rsidRPr="00E977E5" w:rsidRDefault="00E977E5" w:rsidP="00E977E5">
            <w:pPr>
              <w:spacing w:after="0" w:line="240" w:lineRule="auto"/>
              <w:jc w:val="both"/>
              <w:rPr>
                <w:rFonts w:ascii="Times New Roman" w:hAnsi="Times New Roman" w:cs="Times New Roman"/>
                <w:bCs/>
                <w:sz w:val="20"/>
                <w:szCs w:val="20"/>
                <w:lang w:val="ro-RO" w:eastAsia="ro-RO"/>
              </w:rPr>
            </w:pPr>
          </w:p>
          <w:p w14:paraId="11C288E3" w14:textId="77777777" w:rsidR="00E977E5" w:rsidRPr="00E977E5" w:rsidRDefault="00E977E5" w:rsidP="00E977E5">
            <w:pPr>
              <w:spacing w:after="0" w:line="240" w:lineRule="auto"/>
              <w:jc w:val="both"/>
              <w:rPr>
                <w:rFonts w:ascii="Times New Roman" w:hAnsi="Times New Roman" w:cs="Times New Roman"/>
                <w:bCs/>
                <w:sz w:val="20"/>
                <w:szCs w:val="20"/>
                <w:lang w:val="ro-RO" w:eastAsia="ro-RO"/>
              </w:rPr>
            </w:pPr>
            <w:r w:rsidRPr="00E977E5">
              <w:rPr>
                <w:rFonts w:ascii="Times New Roman" w:hAnsi="Times New Roman" w:cs="Times New Roman"/>
                <w:bCs/>
                <w:sz w:val="20"/>
                <w:szCs w:val="20"/>
                <w:lang w:val="ro-RO" w:eastAsia="ro-RO"/>
              </w:rPr>
              <w:t>Art.146 alin.(1) lit.e) transpune fidel art.70 alin.(6) lit.h) din Directiva 2014/65/UE. Atât cuantumul (dublul beneficiului), cât și condiția „dacă acestea pot fi determinate</w:t>
            </w:r>
            <w:r>
              <w:rPr>
                <w:rFonts w:ascii="Times New Roman" w:hAnsi="Times New Roman" w:cs="Times New Roman"/>
                <w:bCs/>
                <w:sz w:val="20"/>
                <w:szCs w:val="20"/>
                <w:lang w:val="ro-RO" w:eastAsia="ro-RO"/>
              </w:rPr>
              <w:t>”</w:t>
            </w:r>
            <w:r w:rsidRPr="00E977E5">
              <w:rPr>
                <w:rFonts w:ascii="Times New Roman" w:hAnsi="Times New Roman" w:cs="Times New Roman"/>
                <w:bCs/>
                <w:sz w:val="20"/>
                <w:szCs w:val="20"/>
                <w:lang w:val="ro-RO" w:eastAsia="ro-RO"/>
              </w:rPr>
              <w:t xml:space="preserve"> și mențiunea privind depășirea plafoanelor reprezintă formularea </w:t>
            </w:r>
            <w:r>
              <w:rPr>
                <w:rFonts w:ascii="Times New Roman" w:hAnsi="Times New Roman" w:cs="Times New Roman"/>
                <w:bCs/>
                <w:sz w:val="20"/>
                <w:szCs w:val="20"/>
                <w:lang w:val="ro-RO" w:eastAsia="ro-RO"/>
              </w:rPr>
              <w:t>D</w:t>
            </w:r>
            <w:r w:rsidRPr="00E977E5">
              <w:rPr>
                <w:rFonts w:ascii="Times New Roman" w:hAnsi="Times New Roman" w:cs="Times New Roman"/>
                <w:bCs/>
                <w:sz w:val="20"/>
                <w:szCs w:val="20"/>
                <w:lang w:val="ro-RO" w:eastAsia="ro-RO"/>
              </w:rPr>
              <w:t>irectivei, preluată fără devieri potrivit pct.24 din Regulamentul aprobat prin Hotărârea Guvernului nr.1171/2018.</w:t>
            </w:r>
          </w:p>
          <w:p w14:paraId="6F0A30CC" w14:textId="77777777" w:rsidR="00E977E5" w:rsidRPr="00E977E5" w:rsidRDefault="00E977E5" w:rsidP="00E977E5">
            <w:pPr>
              <w:spacing w:after="0" w:line="240" w:lineRule="auto"/>
              <w:jc w:val="both"/>
              <w:rPr>
                <w:rFonts w:ascii="Times New Roman" w:hAnsi="Times New Roman" w:cs="Times New Roman"/>
                <w:bCs/>
                <w:sz w:val="20"/>
                <w:szCs w:val="20"/>
                <w:lang w:val="ro-RO" w:eastAsia="ro-RO"/>
              </w:rPr>
            </w:pPr>
          </w:p>
          <w:p w14:paraId="74FEF51F" w14:textId="77777777" w:rsidR="00E977E5" w:rsidRPr="00E977E5" w:rsidRDefault="00E977E5" w:rsidP="00E977E5">
            <w:pPr>
              <w:spacing w:after="0" w:line="240" w:lineRule="auto"/>
              <w:jc w:val="both"/>
              <w:rPr>
                <w:rFonts w:ascii="Times New Roman" w:hAnsi="Times New Roman" w:cs="Times New Roman"/>
                <w:bCs/>
                <w:sz w:val="20"/>
                <w:szCs w:val="20"/>
                <w:lang w:val="ro-RO" w:eastAsia="ro-RO"/>
              </w:rPr>
            </w:pPr>
            <w:r w:rsidRPr="00E977E5">
              <w:rPr>
                <w:rFonts w:ascii="Times New Roman" w:hAnsi="Times New Roman" w:cs="Times New Roman"/>
                <w:bCs/>
                <w:sz w:val="20"/>
                <w:szCs w:val="20"/>
                <w:lang w:val="ro-RO" w:eastAsia="ro-RO"/>
              </w:rPr>
              <w:t xml:space="preserve">Caracterul armonizat și disuasiv al sancțiunilor constituie un obiectiv esențial al dreptului Uniunii Europene: regimul </w:t>
            </w:r>
            <w:r w:rsidRPr="00E977E5">
              <w:rPr>
                <w:rFonts w:ascii="Times New Roman" w:hAnsi="Times New Roman" w:cs="Times New Roman"/>
                <w:bCs/>
                <w:sz w:val="20"/>
                <w:szCs w:val="20"/>
                <w:lang w:val="ro-RO" w:eastAsia="ro-RO"/>
              </w:rPr>
              <w:lastRenderedPageBreak/>
              <w:t xml:space="preserve">sancționator trebuie să fie echivalent în toate statele membre, pentru a asigura sancțiuni eficace, proporționale și disuasive și pentru a preveni arbitrajul de reglementare, respectiv alegerea jurisdicției în funcție de severitatea mai redusă a sancțiunilor. </w:t>
            </w:r>
          </w:p>
          <w:p w14:paraId="740E9F91" w14:textId="77777777" w:rsidR="00E977E5" w:rsidRPr="00E977E5" w:rsidRDefault="00E977E5" w:rsidP="00E977E5">
            <w:pPr>
              <w:spacing w:after="0" w:line="240" w:lineRule="auto"/>
              <w:jc w:val="both"/>
              <w:rPr>
                <w:rFonts w:ascii="Times New Roman" w:hAnsi="Times New Roman" w:cs="Times New Roman"/>
                <w:bCs/>
                <w:sz w:val="20"/>
                <w:szCs w:val="20"/>
                <w:lang w:val="ro-RO" w:eastAsia="ro-RO"/>
              </w:rPr>
            </w:pPr>
          </w:p>
          <w:p w14:paraId="700C80DF" w14:textId="77777777" w:rsidR="00CE64C6" w:rsidRDefault="00E977E5" w:rsidP="00E977E5">
            <w:pPr>
              <w:spacing w:after="0" w:line="240" w:lineRule="auto"/>
              <w:jc w:val="both"/>
              <w:rPr>
                <w:rFonts w:ascii="Times New Roman" w:hAnsi="Times New Roman" w:cs="Times New Roman"/>
                <w:bCs/>
                <w:sz w:val="20"/>
                <w:szCs w:val="20"/>
                <w:lang w:val="ro-RO" w:eastAsia="ro-RO"/>
              </w:rPr>
            </w:pPr>
            <w:r w:rsidRPr="00E977E5">
              <w:rPr>
                <w:rFonts w:ascii="Times New Roman" w:hAnsi="Times New Roman" w:cs="Times New Roman"/>
                <w:bCs/>
                <w:sz w:val="20"/>
                <w:szCs w:val="20"/>
                <w:lang w:val="ro-RO" w:eastAsia="ro-RO"/>
              </w:rPr>
              <w:t>Sintagma „dacă acestea pot fi determinate</w:t>
            </w:r>
            <w:r>
              <w:rPr>
                <w:rFonts w:ascii="Times New Roman" w:hAnsi="Times New Roman" w:cs="Times New Roman"/>
                <w:bCs/>
                <w:sz w:val="20"/>
                <w:szCs w:val="20"/>
                <w:lang w:val="ro-RO" w:eastAsia="ro-RO"/>
              </w:rPr>
              <w:t>”</w:t>
            </w:r>
            <w:r w:rsidRPr="00E977E5">
              <w:rPr>
                <w:rFonts w:ascii="Times New Roman" w:hAnsi="Times New Roman" w:cs="Times New Roman"/>
                <w:bCs/>
                <w:sz w:val="20"/>
                <w:szCs w:val="20"/>
                <w:lang w:val="ro-RO" w:eastAsia="ro-RO"/>
              </w:rPr>
              <w:t xml:space="preserve"> instituie o condiție de probațiune: sancțiunea prevăzută la lit.e) se aplică numai în cazul în care profitul obținut sau pierderile evitate pot fi efectiv stabilite în cazul concret, pe bază de probe, sarcina determinării revenind </w:t>
            </w:r>
            <w:r w:rsidR="003E0546">
              <w:rPr>
                <w:rFonts w:ascii="Times New Roman" w:hAnsi="Times New Roman" w:cs="Times New Roman"/>
                <w:bCs/>
                <w:sz w:val="20"/>
                <w:szCs w:val="20"/>
                <w:lang w:val="ro-RO" w:eastAsia="ro-RO"/>
              </w:rPr>
              <w:t>autorității</w:t>
            </w:r>
            <w:r w:rsidRPr="00E977E5">
              <w:rPr>
                <w:rFonts w:ascii="Times New Roman" w:hAnsi="Times New Roman" w:cs="Times New Roman"/>
                <w:bCs/>
                <w:sz w:val="20"/>
                <w:szCs w:val="20"/>
                <w:lang w:val="ro-RO" w:eastAsia="ro-RO"/>
              </w:rPr>
              <w:t xml:space="preserve">. </w:t>
            </w:r>
          </w:p>
          <w:p w14:paraId="2AB8ED50" w14:textId="77777777" w:rsidR="003E0546" w:rsidRDefault="003E0546" w:rsidP="00E977E5">
            <w:pPr>
              <w:spacing w:after="0" w:line="240" w:lineRule="auto"/>
              <w:jc w:val="both"/>
              <w:rPr>
                <w:rFonts w:ascii="Times New Roman" w:hAnsi="Times New Roman" w:cs="Times New Roman"/>
                <w:bCs/>
                <w:sz w:val="20"/>
                <w:szCs w:val="20"/>
                <w:lang w:val="ro-RO" w:eastAsia="ro-RO"/>
              </w:rPr>
            </w:pPr>
          </w:p>
          <w:p w14:paraId="1374EB1C" w14:textId="77777777" w:rsidR="003E0546" w:rsidRDefault="003E0546" w:rsidP="00E977E5">
            <w:pPr>
              <w:spacing w:after="0" w:line="240" w:lineRule="auto"/>
              <w:jc w:val="both"/>
              <w:rPr>
                <w:rFonts w:ascii="Times New Roman" w:hAnsi="Times New Roman" w:cs="Times New Roman"/>
                <w:bCs/>
                <w:sz w:val="20"/>
                <w:szCs w:val="20"/>
                <w:lang w:val="ro-RO" w:eastAsia="ro-RO"/>
              </w:rPr>
            </w:pPr>
            <w:r w:rsidRPr="003E0546">
              <w:rPr>
                <w:rFonts w:ascii="Times New Roman" w:hAnsi="Times New Roman" w:cs="Times New Roman"/>
                <w:bCs/>
                <w:sz w:val="20"/>
                <w:szCs w:val="20"/>
                <w:lang w:val="ro-RO" w:eastAsia="ro-RO"/>
              </w:rPr>
              <w:t>În confirmarea acestei abordări, aceeași soluție normativă este deja consacrată în legislația națională: art.141 alin.(1) lit.h) din Legea nr.202/2017 privind activitatea băncilor</w:t>
            </w:r>
            <w:r>
              <w:rPr>
                <w:rFonts w:ascii="Times New Roman" w:hAnsi="Times New Roman" w:cs="Times New Roman"/>
                <w:bCs/>
                <w:sz w:val="20"/>
                <w:szCs w:val="20"/>
                <w:lang w:val="ro-RO" w:eastAsia="ro-RO"/>
              </w:rPr>
              <w:t>,</w:t>
            </w:r>
            <w:r w:rsidRPr="003E0546">
              <w:rPr>
                <w:rFonts w:ascii="Times New Roman" w:hAnsi="Times New Roman" w:cs="Times New Roman"/>
                <w:bCs/>
                <w:sz w:val="20"/>
                <w:szCs w:val="20"/>
                <w:lang w:val="ro-RO" w:eastAsia="ro-RO"/>
              </w:rPr>
              <w:t xml:space="preserve"> care transpune Directiva 2013/36/UE prevede, în termeni identici, „amendă egală cu până la valoarea dublă a beneficiului obținut ca urmare a încălcării, dacă acesta poate fi determinat</w:t>
            </w:r>
            <w:r>
              <w:rPr>
                <w:rFonts w:ascii="Times New Roman" w:hAnsi="Times New Roman" w:cs="Times New Roman"/>
                <w:bCs/>
                <w:sz w:val="20"/>
                <w:szCs w:val="20"/>
                <w:lang w:val="ro-RO" w:eastAsia="ro-RO"/>
              </w:rPr>
              <w:t>”</w:t>
            </w:r>
            <w:r w:rsidRPr="003E0546">
              <w:rPr>
                <w:rFonts w:ascii="Times New Roman" w:hAnsi="Times New Roman" w:cs="Times New Roman"/>
                <w:bCs/>
                <w:sz w:val="20"/>
                <w:szCs w:val="20"/>
                <w:lang w:val="ro-RO" w:eastAsia="ro-RO"/>
              </w:rPr>
              <w:t>.</w:t>
            </w:r>
          </w:p>
          <w:p w14:paraId="076C4ADF" w14:textId="77777777" w:rsidR="003E0546" w:rsidRPr="00CE64C6" w:rsidRDefault="003E0546" w:rsidP="00E977E5">
            <w:pPr>
              <w:spacing w:after="0" w:line="240" w:lineRule="auto"/>
              <w:jc w:val="both"/>
              <w:rPr>
                <w:rFonts w:ascii="Times New Roman" w:hAnsi="Times New Roman" w:cs="Times New Roman"/>
                <w:bCs/>
                <w:sz w:val="20"/>
                <w:szCs w:val="20"/>
                <w:lang w:val="ro-RO" w:eastAsia="ro-RO"/>
              </w:rPr>
            </w:pPr>
            <w:r w:rsidRPr="003E0546">
              <w:rPr>
                <w:rFonts w:ascii="Times New Roman" w:hAnsi="Times New Roman" w:cs="Times New Roman"/>
                <w:bCs/>
                <w:sz w:val="20"/>
                <w:szCs w:val="20"/>
                <w:lang w:val="ro-RO" w:eastAsia="ro-RO"/>
              </w:rPr>
              <w:t>Aceasta demonstrează</w:t>
            </w:r>
            <w:r>
              <w:rPr>
                <w:rFonts w:ascii="Times New Roman" w:hAnsi="Times New Roman" w:cs="Times New Roman"/>
                <w:bCs/>
                <w:sz w:val="20"/>
                <w:szCs w:val="20"/>
                <w:lang w:val="ro-RO" w:eastAsia="ro-RO"/>
              </w:rPr>
              <w:t xml:space="preserve"> suplimentar </w:t>
            </w:r>
            <w:r w:rsidRPr="003E0546">
              <w:rPr>
                <w:rFonts w:ascii="Times New Roman" w:hAnsi="Times New Roman" w:cs="Times New Roman"/>
                <w:bCs/>
                <w:sz w:val="20"/>
                <w:szCs w:val="20"/>
                <w:lang w:val="ro-RO" w:eastAsia="ro-RO"/>
              </w:rPr>
              <w:t>că formula corespunde unor cerințe unitare impuse de dreptul Uniunii Europene în întregul sector financiar.</w:t>
            </w:r>
          </w:p>
        </w:tc>
      </w:tr>
      <w:tr w:rsidR="001B13FF" w:rsidRPr="009B7C97" w14:paraId="76A6B75D"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35622" w14:textId="77777777" w:rsidR="001B13FF" w:rsidRPr="000178A3" w:rsidRDefault="008860F7" w:rsidP="00B03A08">
            <w:pPr>
              <w:spacing w:after="0" w:line="240" w:lineRule="auto"/>
              <w:jc w:val="both"/>
              <w:rPr>
                <w:rFonts w:ascii="Times New Roman" w:hAnsi="Times New Roman" w:cs="Times New Roman"/>
                <w:b/>
                <w:sz w:val="20"/>
                <w:szCs w:val="20"/>
                <w:lang w:val="ro-RO" w:eastAsia="ro-RO"/>
              </w:rPr>
            </w:pPr>
            <w:r w:rsidRPr="000178A3">
              <w:rPr>
                <w:rFonts w:ascii="Times New Roman" w:hAnsi="Times New Roman" w:cs="Times New Roman"/>
                <w:b/>
                <w:sz w:val="20"/>
                <w:szCs w:val="20"/>
                <w:lang w:val="ro-RO" w:eastAsia="ro-RO"/>
              </w:rPr>
              <w:lastRenderedPageBreak/>
              <w:t>Articolul 146. Sancțiunile și măsurile sancționatoare aplicabile</w:t>
            </w:r>
          </w:p>
          <w:p w14:paraId="7F7C43AB" w14:textId="77777777" w:rsidR="008860F7" w:rsidRPr="000178A3" w:rsidRDefault="008860F7" w:rsidP="008860F7">
            <w:pPr>
              <w:spacing w:after="0" w:line="240" w:lineRule="auto"/>
              <w:jc w:val="both"/>
              <w:rPr>
                <w:rFonts w:ascii="Times New Roman" w:hAnsi="Times New Roman" w:cs="Times New Roman"/>
                <w:bCs/>
                <w:sz w:val="20"/>
                <w:szCs w:val="20"/>
                <w:lang w:val="ro-RO" w:eastAsia="ro-RO"/>
              </w:rPr>
            </w:pPr>
            <w:r w:rsidRPr="000178A3">
              <w:rPr>
                <w:rFonts w:ascii="Times New Roman" w:hAnsi="Times New Roman" w:cs="Times New Roman"/>
                <w:bCs/>
                <w:sz w:val="20"/>
                <w:szCs w:val="20"/>
                <w:lang w:val="ro-RO" w:eastAsia="ro-RO"/>
              </w:rPr>
              <w:t xml:space="preserve">(3) Prin derogare de la prevederile alin.(1), în toate cazurile în care CNPF constată că a avut loc o încălcare conform art.145 alin.(5), fără a aduce atingere dreptului CNPF de a dispune măsurile de supraveghere prevăzute de prezenta lege, CNPF poate aplica măsurile </w:t>
            </w:r>
            <w:r w:rsidRPr="000178A3">
              <w:rPr>
                <w:rFonts w:ascii="Times New Roman" w:hAnsi="Times New Roman" w:cs="Times New Roman"/>
                <w:bCs/>
                <w:sz w:val="20"/>
                <w:szCs w:val="20"/>
                <w:lang w:val="ro-RO" w:eastAsia="ro-RO"/>
              </w:rPr>
              <w:lastRenderedPageBreak/>
              <w:t>sancționatoare prevăzute la alin.(2), precum și, după caz, următoarele sancțiuni:</w:t>
            </w:r>
          </w:p>
          <w:p w14:paraId="5D3CF7D9" w14:textId="77777777" w:rsidR="008860F7" w:rsidRPr="000178A3" w:rsidRDefault="008860F7" w:rsidP="008860F7">
            <w:pPr>
              <w:spacing w:after="0" w:line="240" w:lineRule="auto"/>
              <w:jc w:val="both"/>
              <w:rPr>
                <w:rFonts w:ascii="Times New Roman" w:hAnsi="Times New Roman" w:cs="Times New Roman"/>
                <w:bCs/>
                <w:sz w:val="20"/>
                <w:szCs w:val="20"/>
                <w:lang w:val="ro-RO" w:eastAsia="ro-RO"/>
              </w:rPr>
            </w:pPr>
            <w:r w:rsidRPr="000178A3">
              <w:rPr>
                <w:rFonts w:ascii="Times New Roman" w:hAnsi="Times New Roman" w:cs="Times New Roman"/>
                <w:bCs/>
                <w:sz w:val="20"/>
                <w:szCs w:val="20"/>
                <w:lang w:val="ro-RO" w:eastAsia="ro-RO"/>
              </w:rPr>
              <w:t>1) avertisment scris;</w:t>
            </w:r>
          </w:p>
          <w:p w14:paraId="06FD1C13" w14:textId="77777777" w:rsidR="008860F7" w:rsidRPr="000178A3" w:rsidRDefault="008860F7" w:rsidP="008860F7">
            <w:pPr>
              <w:spacing w:after="0" w:line="240" w:lineRule="auto"/>
              <w:jc w:val="both"/>
              <w:rPr>
                <w:rFonts w:ascii="Times New Roman" w:hAnsi="Times New Roman" w:cs="Times New Roman"/>
                <w:bCs/>
                <w:sz w:val="20"/>
                <w:szCs w:val="20"/>
                <w:lang w:val="ro-RO" w:eastAsia="ro-RO"/>
              </w:rPr>
            </w:pPr>
            <w:r w:rsidRPr="000178A3">
              <w:rPr>
                <w:rFonts w:ascii="Times New Roman" w:hAnsi="Times New Roman" w:cs="Times New Roman"/>
                <w:bCs/>
                <w:sz w:val="20"/>
                <w:szCs w:val="20"/>
                <w:lang w:val="ro-RO" w:eastAsia="ro-RO"/>
              </w:rPr>
              <w:t>2) avertisment public prin care se indică persoana fizică și/sau persoana juridică și natura încălcării;</w:t>
            </w:r>
          </w:p>
          <w:p w14:paraId="372AA905" w14:textId="77777777" w:rsidR="008860F7" w:rsidRPr="000178A3" w:rsidRDefault="008860F7" w:rsidP="008860F7">
            <w:pPr>
              <w:spacing w:after="0" w:line="240" w:lineRule="auto"/>
              <w:jc w:val="both"/>
              <w:rPr>
                <w:rFonts w:ascii="Times New Roman" w:hAnsi="Times New Roman" w:cs="Times New Roman"/>
                <w:bCs/>
                <w:sz w:val="20"/>
                <w:szCs w:val="20"/>
                <w:lang w:val="ro-RO" w:eastAsia="ro-RO"/>
              </w:rPr>
            </w:pPr>
            <w:r w:rsidRPr="000178A3">
              <w:rPr>
                <w:rFonts w:ascii="Times New Roman" w:hAnsi="Times New Roman" w:cs="Times New Roman"/>
                <w:bCs/>
                <w:sz w:val="20"/>
                <w:szCs w:val="20"/>
                <w:lang w:val="ro-RO" w:eastAsia="ro-RO"/>
              </w:rPr>
              <w:t>3) amendă aplicabilă persoanei juridice, în cuantum de:</w:t>
            </w:r>
          </w:p>
          <w:p w14:paraId="7AA2ED6B" w14:textId="77777777" w:rsidR="008860F7" w:rsidRPr="000178A3" w:rsidRDefault="008860F7" w:rsidP="008860F7">
            <w:pPr>
              <w:spacing w:after="0" w:line="240" w:lineRule="auto"/>
              <w:jc w:val="both"/>
              <w:rPr>
                <w:rFonts w:ascii="Times New Roman" w:hAnsi="Times New Roman" w:cs="Times New Roman"/>
                <w:bCs/>
                <w:sz w:val="20"/>
                <w:szCs w:val="20"/>
                <w:lang w:val="ro-RO" w:eastAsia="ro-RO"/>
              </w:rPr>
            </w:pPr>
            <w:r w:rsidRPr="000178A3">
              <w:rPr>
                <w:rFonts w:ascii="Times New Roman" w:hAnsi="Times New Roman" w:cs="Times New Roman"/>
                <w:bCs/>
                <w:sz w:val="20"/>
                <w:szCs w:val="20"/>
                <w:lang w:val="ro-RO" w:eastAsia="ro-RO"/>
              </w:rPr>
              <w:t>a) până la 120 milioane lei moldovenești sau până la 10% din cifra de afaceri anuală a persoanei juridice conform ultimelor situații financiare anuale disponibile aprobate de organul de conducere, în cazul încălcării art.129;</w:t>
            </w:r>
          </w:p>
          <w:p w14:paraId="577B2272" w14:textId="77777777" w:rsidR="008860F7" w:rsidRPr="000178A3" w:rsidRDefault="008860F7" w:rsidP="008860F7">
            <w:pPr>
              <w:spacing w:after="0" w:line="240" w:lineRule="auto"/>
              <w:jc w:val="both"/>
              <w:rPr>
                <w:rFonts w:ascii="Times New Roman" w:hAnsi="Times New Roman" w:cs="Times New Roman"/>
                <w:bCs/>
                <w:sz w:val="20"/>
                <w:szCs w:val="20"/>
                <w:lang w:val="ro-RO" w:eastAsia="ro-RO"/>
              </w:rPr>
            </w:pPr>
            <w:r w:rsidRPr="000178A3">
              <w:rPr>
                <w:rFonts w:ascii="Times New Roman" w:hAnsi="Times New Roman" w:cs="Times New Roman"/>
                <w:bCs/>
                <w:sz w:val="20"/>
                <w:szCs w:val="20"/>
                <w:lang w:val="ro-RO" w:eastAsia="ro-RO"/>
              </w:rPr>
              <w:t>b) până la 350 milioane lei moldovenești sau până la 10% din cifra de afaceri anuală a persoanei juridice conform ultimelor situații financiare anuale disponibile aprobate de organul de conducere, în cazul încălcării art.130;</w:t>
            </w:r>
          </w:p>
          <w:p w14:paraId="29E563EE" w14:textId="77777777" w:rsidR="008860F7" w:rsidRPr="000178A3" w:rsidRDefault="008860F7" w:rsidP="008860F7">
            <w:pPr>
              <w:spacing w:after="0" w:line="240" w:lineRule="auto"/>
              <w:jc w:val="both"/>
              <w:rPr>
                <w:rFonts w:ascii="Times New Roman" w:hAnsi="Times New Roman" w:cs="Times New Roman"/>
                <w:b/>
                <w:sz w:val="20"/>
                <w:szCs w:val="20"/>
                <w:lang w:val="ro-RO" w:eastAsia="ro-RO"/>
              </w:rPr>
            </w:pPr>
            <w:r w:rsidRPr="000178A3">
              <w:rPr>
                <w:rFonts w:ascii="Times New Roman" w:hAnsi="Times New Roman" w:cs="Times New Roman"/>
                <w:bCs/>
                <w:sz w:val="20"/>
                <w:szCs w:val="20"/>
                <w:lang w:val="ro-RO" w:eastAsia="ro-RO"/>
              </w:rPr>
              <w:t>În sensul prezentului punct, în cazul în care persoana juridică este o entitate-mamă sau o filială a entității-mamă care trebuie să întocmească situații financiare consolidate, cifra de afaceri anuală totală aplicabilă este cifra de afaceri anuală totală sau tipul de venit corespunzător conform legislației contabile relevante, care se calculează pe baza ultimelor situații financiare consolidate disponibile aprobate de organul de conducere al entității-mamă de cel mai înalt rang;</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6037663E" w14:textId="77777777" w:rsidR="001B13FF" w:rsidRPr="000178A3" w:rsidRDefault="008860F7" w:rsidP="00B03A08">
            <w:pPr>
              <w:spacing w:after="0" w:line="240" w:lineRule="auto"/>
              <w:rPr>
                <w:rFonts w:ascii="Times New Roman" w:eastAsia="Times New Roman" w:hAnsi="Times New Roman" w:cs="Times New Roman"/>
                <w:b/>
                <w:bCs/>
                <w:sz w:val="20"/>
                <w:szCs w:val="20"/>
                <w:lang w:eastAsia="ro-RO"/>
              </w:rPr>
            </w:pPr>
            <w:r w:rsidRPr="000178A3">
              <w:rPr>
                <w:rFonts w:ascii="Times New Roman" w:eastAsia="Times New Roman" w:hAnsi="Times New Roman" w:cs="Times New Roman"/>
                <w:b/>
                <w:bCs/>
                <w:sz w:val="20"/>
                <w:szCs w:val="20"/>
                <w:lang w:eastAsia="ro-RO"/>
              </w:rPr>
              <w:lastRenderedPageBreak/>
              <w:t>Ministerul Justiției</w:t>
            </w:r>
          </w:p>
          <w:p w14:paraId="485A4EFC" w14:textId="77777777" w:rsidR="00263797" w:rsidRPr="000178A3" w:rsidRDefault="00263797" w:rsidP="00B03A08">
            <w:pPr>
              <w:spacing w:after="0" w:line="240" w:lineRule="auto"/>
              <w:rPr>
                <w:rFonts w:ascii="Times New Roman" w:eastAsia="Times New Roman" w:hAnsi="Times New Roman" w:cs="Times New Roman"/>
                <w:b/>
                <w:bCs/>
                <w:sz w:val="20"/>
                <w:szCs w:val="20"/>
                <w:lang w:eastAsia="ro-RO"/>
              </w:rPr>
            </w:pPr>
            <w:r w:rsidRPr="000178A3">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4B94FA0E" w14:textId="77777777" w:rsidR="001B13FF" w:rsidRPr="000178A3" w:rsidRDefault="005313AD" w:rsidP="00CE1798">
            <w:pPr>
              <w:spacing w:after="0" w:line="240" w:lineRule="auto"/>
              <w:jc w:val="center"/>
              <w:rPr>
                <w:rFonts w:ascii="Times New Roman" w:eastAsia="Times New Roman" w:hAnsi="Times New Roman" w:cs="Times New Roman"/>
                <w:b/>
                <w:bCs/>
                <w:sz w:val="20"/>
                <w:szCs w:val="20"/>
                <w:lang w:eastAsia="ro-RO"/>
              </w:rPr>
            </w:pPr>
            <w:r w:rsidRPr="000178A3">
              <w:rPr>
                <w:rFonts w:ascii="Times New Roman" w:eastAsia="Times New Roman" w:hAnsi="Times New Roman" w:cs="Times New Roman"/>
                <w:b/>
                <w:bCs/>
                <w:sz w:val="20"/>
                <w:szCs w:val="20"/>
                <w:lang w:eastAsia="ro-RO"/>
              </w:rPr>
              <w:t>30</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9C321" w14:textId="77777777" w:rsidR="001B13FF" w:rsidRPr="000178A3" w:rsidRDefault="001B13FF" w:rsidP="00B03A08">
            <w:pPr>
              <w:tabs>
                <w:tab w:val="left" w:pos="1230"/>
              </w:tabs>
              <w:spacing w:after="0" w:line="240" w:lineRule="auto"/>
              <w:jc w:val="both"/>
              <w:rPr>
                <w:rFonts w:ascii="Times New Roman" w:hAnsi="Times New Roman" w:cs="Times New Roman"/>
                <w:sz w:val="20"/>
                <w:szCs w:val="20"/>
                <w:lang w:eastAsia="ro-RO"/>
              </w:rPr>
            </w:pPr>
            <w:r w:rsidRPr="000178A3">
              <w:rPr>
                <w:rFonts w:ascii="Times New Roman" w:hAnsi="Times New Roman" w:cs="Times New Roman"/>
                <w:sz w:val="20"/>
                <w:szCs w:val="20"/>
                <w:lang w:eastAsia="ro-RO"/>
              </w:rPr>
              <w:t>Menționăm că art.146 alin.(3) utilizează cuvintele „În sensul prezentului punct”, formulare care este n</w:t>
            </w:r>
            <w:r w:rsidR="00865F05" w:rsidRPr="000178A3">
              <w:rPr>
                <w:rFonts w:ascii="Times New Roman" w:hAnsi="Times New Roman" w:cs="Times New Roman"/>
                <w:sz w:val="20"/>
                <w:szCs w:val="20"/>
                <w:lang w:eastAsia="ro-RO"/>
              </w:rPr>
              <w:t>ecorespunzătoare din punct de vedere al tehnicii legislative, întrucât structura dispoziției este organizată pe articole, alineate și litere, iar nu pe „puncte”, ceea ce generează o imprecizie în determinarea normei de trimitere.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F8CE1" w14:textId="77777777" w:rsidR="009764DA" w:rsidRDefault="00526132" w:rsidP="00B03A08">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
                <w:sz w:val="20"/>
                <w:szCs w:val="20"/>
                <w:lang w:val="ro-RO" w:eastAsia="ro-RO"/>
              </w:rPr>
              <w:t>S</w:t>
            </w:r>
            <w:r w:rsidR="00865F05" w:rsidRPr="000178A3">
              <w:rPr>
                <w:rFonts w:ascii="Times New Roman" w:hAnsi="Times New Roman" w:cs="Times New Roman"/>
                <w:b/>
                <w:sz w:val="20"/>
                <w:szCs w:val="20"/>
                <w:lang w:val="ro-RO" w:eastAsia="ro-RO"/>
              </w:rPr>
              <w:t>e acceptă</w:t>
            </w:r>
          </w:p>
          <w:p w14:paraId="125C3695" w14:textId="77777777" w:rsidR="00526132" w:rsidRPr="00526132" w:rsidRDefault="00526132" w:rsidP="00B03A08">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S</w:t>
            </w:r>
            <w:r w:rsidRPr="00526132">
              <w:rPr>
                <w:rFonts w:ascii="Times New Roman" w:hAnsi="Times New Roman" w:cs="Times New Roman"/>
                <w:bCs/>
                <w:sz w:val="20"/>
                <w:szCs w:val="20"/>
                <w:lang w:val="ro-RO" w:eastAsia="ro-RO"/>
              </w:rPr>
              <w:t>intagma „În sensul prezentului punct</w:t>
            </w:r>
            <w:r>
              <w:rPr>
                <w:rFonts w:ascii="Times New Roman" w:hAnsi="Times New Roman" w:cs="Times New Roman"/>
                <w:bCs/>
                <w:sz w:val="20"/>
                <w:szCs w:val="20"/>
                <w:lang w:val="ro-RO" w:eastAsia="ro-RO"/>
              </w:rPr>
              <w:t>”</w:t>
            </w:r>
            <w:r w:rsidRPr="00526132">
              <w:rPr>
                <w:rFonts w:ascii="Times New Roman" w:hAnsi="Times New Roman" w:cs="Times New Roman"/>
                <w:bCs/>
                <w:sz w:val="20"/>
                <w:szCs w:val="20"/>
                <w:lang w:val="ro-RO" w:eastAsia="ro-RO"/>
              </w:rPr>
              <w:t xml:space="preserve"> de la art.146 alin.(3) pct.3) a fost înlocuită cu „În sensul lit.a) și b)</w:t>
            </w:r>
            <w:r>
              <w:rPr>
                <w:rFonts w:ascii="Times New Roman" w:hAnsi="Times New Roman" w:cs="Times New Roman"/>
                <w:bCs/>
                <w:sz w:val="20"/>
                <w:szCs w:val="20"/>
                <w:lang w:val="ro-RO" w:eastAsia="ro-RO"/>
              </w:rPr>
              <w:t>”.</w:t>
            </w:r>
          </w:p>
        </w:tc>
      </w:tr>
      <w:tr w:rsidR="00865F05" w:rsidRPr="009B7C97" w14:paraId="47094C93"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D55555" w14:textId="77777777" w:rsidR="00865F05" w:rsidRPr="000B32CE" w:rsidRDefault="008860F7" w:rsidP="00B03A08">
            <w:pPr>
              <w:spacing w:after="0" w:line="240" w:lineRule="auto"/>
              <w:jc w:val="both"/>
              <w:rPr>
                <w:rFonts w:ascii="Times New Roman" w:hAnsi="Times New Roman" w:cs="Times New Roman"/>
                <w:b/>
                <w:sz w:val="20"/>
                <w:szCs w:val="20"/>
                <w:lang w:val="ro-RO" w:eastAsia="ro-RO"/>
              </w:rPr>
            </w:pPr>
            <w:r w:rsidRPr="000B32CE">
              <w:rPr>
                <w:rFonts w:ascii="Times New Roman" w:hAnsi="Times New Roman" w:cs="Times New Roman"/>
                <w:b/>
                <w:sz w:val="20"/>
                <w:szCs w:val="20"/>
                <w:lang w:val="ro-RO" w:eastAsia="ro-RO"/>
              </w:rPr>
              <w:t>Articolul 147. Aplicarea sancțiunilor și a altor măsuri sancționatoare</w:t>
            </w:r>
          </w:p>
          <w:p w14:paraId="3737831C" w14:textId="77777777" w:rsidR="008860F7" w:rsidRPr="000B32CE" w:rsidRDefault="008860F7" w:rsidP="00B03A08">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t xml:space="preserve">(13) CNPF poate stabili, prin acte normative, modul de aplicare și executare a sancțiunilor </w:t>
            </w:r>
            <w:r w:rsidRPr="000B32CE">
              <w:rPr>
                <w:rFonts w:ascii="Times New Roman" w:hAnsi="Times New Roman" w:cs="Times New Roman"/>
                <w:bCs/>
                <w:sz w:val="20"/>
                <w:szCs w:val="20"/>
                <w:lang w:val="ro-RO" w:eastAsia="ro-RO"/>
              </w:rPr>
              <w:lastRenderedPageBreak/>
              <w:t>și măsurilor sancționatoare prevăzute la art.146.</w:t>
            </w:r>
          </w:p>
          <w:p w14:paraId="67AD8BEE" w14:textId="77777777" w:rsidR="008860F7" w:rsidRPr="000B32CE" w:rsidRDefault="008860F7" w:rsidP="00B03A08">
            <w:pPr>
              <w:spacing w:after="0" w:line="240" w:lineRule="auto"/>
              <w:jc w:val="both"/>
              <w:rPr>
                <w:rFonts w:ascii="Times New Roman" w:hAnsi="Times New Roman" w:cs="Times New Roman"/>
                <w:b/>
                <w:sz w:val="20"/>
                <w:szCs w:val="20"/>
                <w:lang w:val="ro-RO" w:eastAsia="ro-RO"/>
              </w:rPr>
            </w:pPr>
          </w:p>
          <w:p w14:paraId="07DE2399" w14:textId="77777777" w:rsidR="008860F7" w:rsidRPr="000B32CE" w:rsidRDefault="008860F7" w:rsidP="00B03A08">
            <w:pPr>
              <w:spacing w:after="0" w:line="240" w:lineRule="auto"/>
              <w:jc w:val="both"/>
              <w:rPr>
                <w:rFonts w:ascii="Times New Roman" w:hAnsi="Times New Roman" w:cs="Times New Roman"/>
                <w:b/>
                <w:sz w:val="20"/>
                <w:szCs w:val="20"/>
                <w:lang w:val="ro-RO" w:eastAsia="ro-RO"/>
              </w:rPr>
            </w:pPr>
            <w:r w:rsidRPr="000B32CE">
              <w:rPr>
                <w:rFonts w:ascii="Times New Roman" w:hAnsi="Times New Roman" w:cs="Times New Roman"/>
                <w:b/>
                <w:sz w:val="20"/>
                <w:szCs w:val="20"/>
                <w:lang w:val="ro-RO" w:eastAsia="ro-RO"/>
              </w:rPr>
              <w:t>Articolul 148. Constatarea încălcărilor şi emiterea deciziilor</w:t>
            </w:r>
          </w:p>
          <w:p w14:paraId="70085AE7" w14:textId="77777777" w:rsidR="00064A34" w:rsidRPr="000B32CE" w:rsidRDefault="008860F7" w:rsidP="00064A34">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t>(5</w:t>
            </w:r>
            <w:r w:rsidR="00064A34" w:rsidRPr="000B32CE">
              <w:rPr>
                <w:rFonts w:ascii="Times New Roman" w:hAnsi="Times New Roman" w:cs="Times New Roman"/>
                <w:bCs/>
                <w:sz w:val="20"/>
                <w:szCs w:val="20"/>
                <w:lang w:val="ro-RO" w:eastAsia="ro-RO"/>
              </w:rPr>
              <w:t>) BNM, în calitate de autoritate competentă în temeiul art.128 alin.(6):</w:t>
            </w:r>
          </w:p>
          <w:p w14:paraId="0B944436" w14:textId="77777777" w:rsidR="00064A34" w:rsidRPr="000B32CE" w:rsidRDefault="00064A34" w:rsidP="00064A34">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t>a) constată încălcările prevăzute de prezenta lege prin personalul BNM împuternicit în acest sens; și</w:t>
            </w:r>
          </w:p>
          <w:p w14:paraId="52097B7F" w14:textId="77777777" w:rsidR="008860F7" w:rsidRPr="000B32CE" w:rsidRDefault="00064A34" w:rsidP="00064A34">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t>b) aplică măsurile de supraveghere, sancțiunile și măsurile sancționatoare prevăzute de prezenta lege în conformitate cu procedura stabilită prin Legea nr.548/1995 cu privire la Banca Națională a Moldovei și actele normative ale BNM.</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0D39399" w14:textId="77777777" w:rsidR="00865F05" w:rsidRPr="000B32CE" w:rsidRDefault="008860F7" w:rsidP="00B03A08">
            <w:pPr>
              <w:spacing w:after="0" w:line="240" w:lineRule="auto"/>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b/>
                <w:bCs/>
                <w:sz w:val="20"/>
                <w:szCs w:val="20"/>
                <w:lang w:eastAsia="ro-RO"/>
              </w:rPr>
              <w:lastRenderedPageBreak/>
              <w:t>Ministerul Justiției</w:t>
            </w:r>
          </w:p>
          <w:p w14:paraId="5FD233F7" w14:textId="77777777" w:rsidR="00263797" w:rsidRPr="000B32CE" w:rsidRDefault="00263797" w:rsidP="00B03A08">
            <w:pPr>
              <w:spacing w:after="0" w:line="240" w:lineRule="auto"/>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1E206D57" w14:textId="77777777" w:rsidR="00865F05" w:rsidRPr="000B32CE" w:rsidRDefault="005313AD" w:rsidP="00CE1798">
            <w:pPr>
              <w:spacing w:after="0" w:line="240" w:lineRule="auto"/>
              <w:jc w:val="center"/>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b/>
                <w:bCs/>
                <w:sz w:val="20"/>
                <w:szCs w:val="20"/>
                <w:lang w:eastAsia="ro-RO"/>
              </w:rPr>
              <w:t>31</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0F5794" w14:textId="77777777" w:rsidR="00865F05" w:rsidRPr="000B32CE" w:rsidRDefault="00865F05" w:rsidP="00B03A08">
            <w:pPr>
              <w:tabs>
                <w:tab w:val="left" w:pos="1230"/>
              </w:tabs>
              <w:spacing w:after="0" w:line="240" w:lineRule="auto"/>
              <w:jc w:val="both"/>
              <w:rPr>
                <w:rFonts w:ascii="Times New Roman" w:hAnsi="Times New Roman" w:cs="Times New Roman"/>
                <w:sz w:val="20"/>
                <w:szCs w:val="20"/>
                <w:lang w:eastAsia="ro-RO"/>
              </w:rPr>
            </w:pPr>
            <w:r w:rsidRPr="000B32CE">
              <w:rPr>
                <w:rFonts w:ascii="Times New Roman" w:hAnsi="Times New Roman" w:cs="Times New Roman"/>
                <w:sz w:val="20"/>
                <w:szCs w:val="20"/>
                <w:lang w:eastAsia="ro-RO"/>
              </w:rPr>
              <w:t xml:space="preserve">Art.147 alin.(13) și art.148 alin.(5) instituie competențe diferite ale autorităților de supraveghere în materia aplicării sancțiunilor, însă modul de reglementare a procedurilor de aplicare nu este pe deplin corelat și uniform structurat. Astfel, în timp ce CNPF este împuternicită în mod expres să stabilească prin acte normative </w:t>
            </w:r>
            <w:r w:rsidRPr="000B32CE">
              <w:rPr>
                <w:rFonts w:ascii="Times New Roman" w:hAnsi="Times New Roman" w:cs="Times New Roman"/>
                <w:sz w:val="20"/>
                <w:szCs w:val="20"/>
                <w:lang w:eastAsia="ro-RO"/>
              </w:rPr>
              <w:lastRenderedPageBreak/>
              <w:t>modul de aplicare și executare a sancțiunilor și măsurilor sancționatoare, competența Băncii Naționale a Moldovei (BNM) este formulată într-o manieră indirectă, prin trimitere la Legea nr.548/1995 și actele normative proprii, fără o precizare explicită a conținutului procedural al exercitării competențelor sancționatorii, însă fiind autoritate competentă în temeiul art.128 alin.(6) din proiect.</w:t>
            </w:r>
          </w:p>
          <w:p w14:paraId="309FB2B7" w14:textId="77777777" w:rsidR="00865F05" w:rsidRPr="000B32CE" w:rsidRDefault="00865F05" w:rsidP="00B03A08">
            <w:pPr>
              <w:tabs>
                <w:tab w:val="left" w:pos="1230"/>
              </w:tabs>
              <w:spacing w:after="0" w:line="240" w:lineRule="auto"/>
              <w:jc w:val="both"/>
              <w:rPr>
                <w:rFonts w:ascii="Times New Roman" w:hAnsi="Times New Roman" w:cs="Times New Roman"/>
                <w:sz w:val="20"/>
                <w:szCs w:val="20"/>
                <w:lang w:eastAsia="ro-RO"/>
              </w:rPr>
            </w:pPr>
            <w:r w:rsidRPr="000B32CE">
              <w:rPr>
                <w:rFonts w:ascii="Times New Roman" w:hAnsi="Times New Roman" w:cs="Times New Roman"/>
                <w:sz w:val="20"/>
                <w:szCs w:val="20"/>
                <w:lang w:eastAsia="ro-RO"/>
              </w:rPr>
              <w:t>Această diferență de tehnică normativă poate genera un nivel diferit de detaliere și previzibilitate a procedurilor sancționatorii între autoritățile uniforme a sancțiunilor. În acest context, se recomandă clarificarea expresă a raportului dintre competențele normative ale CNPF și BNM în materia procedurilor sancționatorii, astfel încât să fie asigurată o abordare unitară și previzibilă a aplicării sancțiunilor în cadrul reglementat.</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7EA2C" w14:textId="77777777" w:rsidR="00865F05" w:rsidRPr="000B32CE" w:rsidRDefault="000B32CE" w:rsidP="00B03A08">
            <w:pPr>
              <w:spacing w:after="0" w:line="240" w:lineRule="auto"/>
              <w:jc w:val="both"/>
              <w:rPr>
                <w:rFonts w:ascii="Times New Roman" w:hAnsi="Times New Roman" w:cs="Times New Roman"/>
                <w:b/>
                <w:sz w:val="20"/>
                <w:szCs w:val="20"/>
                <w:lang w:val="ro-RO" w:eastAsia="ro-RO"/>
              </w:rPr>
            </w:pPr>
            <w:r w:rsidRPr="000B32CE">
              <w:rPr>
                <w:rFonts w:ascii="Times New Roman" w:hAnsi="Times New Roman" w:cs="Times New Roman"/>
                <w:b/>
                <w:sz w:val="20"/>
                <w:szCs w:val="20"/>
                <w:lang w:val="ro-RO" w:eastAsia="ro-RO"/>
              </w:rPr>
              <w:lastRenderedPageBreak/>
              <w:t>Se acceptă</w:t>
            </w:r>
          </w:p>
          <w:p w14:paraId="53FF9611" w14:textId="77777777" w:rsidR="000B32CE" w:rsidRPr="000B32CE" w:rsidRDefault="000B32CE" w:rsidP="00B03A08">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t>Pentru asigurarea unei abordări unitare și corelate a competențelor celor două autorități în materia procedurilor sancționatorii, art.147 alin.(13) a fost reformulat.</w:t>
            </w:r>
          </w:p>
          <w:p w14:paraId="0F2CDC3A" w14:textId="77777777" w:rsidR="000B32CE" w:rsidRPr="000B32CE" w:rsidRDefault="000B32CE" w:rsidP="00B03A08">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lastRenderedPageBreak/>
              <w:t>Astfel, raportul dintre competențele normative ale CNPF și ale BNM este clarificat expres: CNPF stabilește modul de aplicare și executare a sancțiunilor prin propriile acte normative, iar BNM - în calitate de autoritate competentă în temeiul art.128 alin.(6) — procedează în conformitate cu art.148 alin.(5), potrivit căruia constatarea încălcărilor și aplicarea sancțiunilor se realizează prin personalul împuternicit, în conformitate cu procedura stabilită prin Legea nr.548/1995 cu privire la Banca Națională a Moldovei și prin actele normative ale BNM.</w:t>
            </w:r>
          </w:p>
        </w:tc>
      </w:tr>
      <w:tr w:rsidR="00865F05" w:rsidRPr="009B7C97" w14:paraId="28BF39D4"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B8363" w14:textId="77777777" w:rsidR="00865F05" w:rsidRPr="000B32CE" w:rsidRDefault="005313AD" w:rsidP="00B03A08">
            <w:pPr>
              <w:spacing w:after="0" w:line="240" w:lineRule="auto"/>
              <w:jc w:val="both"/>
              <w:rPr>
                <w:rFonts w:ascii="Times New Roman" w:hAnsi="Times New Roman" w:cs="Times New Roman"/>
                <w:b/>
                <w:sz w:val="20"/>
                <w:szCs w:val="20"/>
                <w:lang w:val="ro-RO" w:eastAsia="ro-RO"/>
              </w:rPr>
            </w:pPr>
            <w:r w:rsidRPr="000B32CE">
              <w:rPr>
                <w:rFonts w:ascii="Times New Roman" w:hAnsi="Times New Roman" w:cs="Times New Roman"/>
                <w:b/>
                <w:sz w:val="20"/>
                <w:szCs w:val="20"/>
                <w:lang w:val="ro-RO" w:eastAsia="ro-RO"/>
              </w:rPr>
              <w:lastRenderedPageBreak/>
              <w:t>Articolul 168. Dispoziții finale</w:t>
            </w:r>
          </w:p>
          <w:p w14:paraId="7C7C3A96" w14:textId="77777777" w:rsidR="005313AD" w:rsidRPr="000B32CE" w:rsidRDefault="005313AD" w:rsidP="005313AD">
            <w:pPr>
              <w:spacing w:after="0" w:line="240" w:lineRule="auto"/>
              <w:jc w:val="both"/>
              <w:rPr>
                <w:rFonts w:ascii="Times New Roman" w:hAnsi="Times New Roman" w:cs="Times New Roman"/>
                <w:bCs/>
                <w:sz w:val="20"/>
                <w:szCs w:val="20"/>
                <w:lang w:val="ro-RO" w:eastAsia="ro-RO"/>
              </w:rPr>
            </w:pPr>
            <w:r w:rsidRPr="000B32CE">
              <w:rPr>
                <w:rFonts w:ascii="Times New Roman" w:hAnsi="Times New Roman" w:cs="Times New Roman"/>
                <w:bCs/>
                <w:sz w:val="20"/>
                <w:szCs w:val="20"/>
                <w:lang w:val="ro-RO" w:eastAsia="ro-RO"/>
              </w:rPr>
              <w:t>(3) Până la data intrării în vigoare a prezentei legi:</w:t>
            </w:r>
          </w:p>
          <w:p w14:paraId="44E09397" w14:textId="77777777" w:rsidR="005313AD" w:rsidRPr="000B32CE" w:rsidRDefault="005313AD" w:rsidP="005313AD">
            <w:pPr>
              <w:spacing w:after="0" w:line="240" w:lineRule="auto"/>
              <w:jc w:val="both"/>
              <w:rPr>
                <w:rFonts w:ascii="Times New Roman" w:hAnsi="Times New Roman" w:cs="Times New Roman"/>
                <w:b/>
                <w:sz w:val="20"/>
                <w:szCs w:val="20"/>
                <w:lang w:val="ro-RO" w:eastAsia="ro-RO"/>
              </w:rPr>
            </w:pPr>
            <w:r w:rsidRPr="000B32CE">
              <w:rPr>
                <w:rFonts w:ascii="Times New Roman" w:hAnsi="Times New Roman" w:cs="Times New Roman"/>
                <w:bCs/>
                <w:sz w:val="20"/>
                <w:szCs w:val="20"/>
                <w:lang w:val="ro-RO" w:eastAsia="ro-RO"/>
              </w:rPr>
              <w:t>a) Guvernul, în comun cu CNPF, va prezenta Parlamentului propuneri privind aducerea legislaţiei în concordanță cu aceasta;</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68ACE83" w14:textId="77777777" w:rsidR="00865F05" w:rsidRPr="000B32CE" w:rsidRDefault="008860F7" w:rsidP="00B03A08">
            <w:pPr>
              <w:spacing w:after="0" w:line="240" w:lineRule="auto"/>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b/>
                <w:bCs/>
                <w:sz w:val="20"/>
                <w:szCs w:val="20"/>
                <w:lang w:eastAsia="ro-RO"/>
              </w:rPr>
              <w:t>Ministerul Justiției</w:t>
            </w:r>
          </w:p>
          <w:p w14:paraId="46215C71" w14:textId="77777777" w:rsidR="00263797" w:rsidRPr="000B32CE" w:rsidRDefault="00263797" w:rsidP="00B03A08">
            <w:pPr>
              <w:spacing w:after="0" w:line="240" w:lineRule="auto"/>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8E447C7" w14:textId="77777777" w:rsidR="00865F05" w:rsidRPr="000B32CE" w:rsidRDefault="005313AD" w:rsidP="00CE1798">
            <w:pPr>
              <w:spacing w:after="0" w:line="240" w:lineRule="auto"/>
              <w:jc w:val="center"/>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b/>
                <w:bCs/>
                <w:sz w:val="20"/>
                <w:szCs w:val="20"/>
                <w:lang w:eastAsia="ro-RO"/>
              </w:rPr>
              <w:t>32</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23FE9" w14:textId="21F3D964" w:rsidR="00865F05" w:rsidRPr="000B32CE" w:rsidRDefault="00865F05" w:rsidP="00B03A08">
            <w:pPr>
              <w:tabs>
                <w:tab w:val="left" w:pos="1230"/>
              </w:tabs>
              <w:spacing w:after="0" w:line="240" w:lineRule="auto"/>
              <w:jc w:val="both"/>
              <w:rPr>
                <w:rFonts w:ascii="Times New Roman" w:hAnsi="Times New Roman" w:cs="Times New Roman"/>
                <w:sz w:val="20"/>
                <w:szCs w:val="20"/>
                <w:lang w:eastAsia="ro-RO"/>
              </w:rPr>
            </w:pPr>
            <w:r w:rsidRPr="000B32CE">
              <w:rPr>
                <w:rFonts w:ascii="Times New Roman" w:hAnsi="Times New Roman" w:cs="Times New Roman"/>
                <w:sz w:val="20"/>
                <w:szCs w:val="20"/>
                <w:lang w:eastAsia="ro-RO"/>
              </w:rPr>
              <w:t>În aceeași ordine de idei, art.</w:t>
            </w:r>
            <w:r w:rsidR="008860F7" w:rsidRPr="000B32CE">
              <w:rPr>
                <w:rFonts w:ascii="Times New Roman" w:hAnsi="Times New Roman" w:cs="Times New Roman"/>
                <w:sz w:val="20"/>
                <w:szCs w:val="20"/>
                <w:lang w:eastAsia="ro-RO"/>
              </w:rPr>
              <w:t>1</w:t>
            </w:r>
            <w:r w:rsidRPr="000B32CE">
              <w:rPr>
                <w:rFonts w:ascii="Times New Roman" w:hAnsi="Times New Roman" w:cs="Times New Roman"/>
                <w:sz w:val="20"/>
                <w:szCs w:val="20"/>
                <w:lang w:eastAsia="ro-RO"/>
              </w:rPr>
              <w:t>68 alin.(3) lit.a) și b) din proiect instituie în mod expres obligația Comisiei Naționale a Pieței Financiare de a aduce actele sale normative în concordanță cu legea și de a elabora actele normative necesare pentru executarea și punerea în aplicare a acesteia, însă nu conțin o reglementare similară în privința Băncii Naționale a Moldovei, deși aceasta este, potrivit proiectului, autoritate competentă în aplicarea anumitor dispoziții ale legii, în speță art.128 alin.(6). În acest context, se</w:t>
            </w:r>
            <w:r w:rsidR="008860F7" w:rsidRPr="000B32CE">
              <w:rPr>
                <w:rFonts w:ascii="Times New Roman" w:hAnsi="Times New Roman" w:cs="Times New Roman"/>
                <w:sz w:val="20"/>
                <w:szCs w:val="20"/>
                <w:lang w:eastAsia="ro-RO"/>
              </w:rPr>
              <w:t xml:space="preserve"> </w:t>
            </w:r>
            <w:r w:rsidRPr="000B32CE">
              <w:rPr>
                <w:rFonts w:ascii="Times New Roman" w:hAnsi="Times New Roman" w:cs="Times New Roman"/>
                <w:sz w:val="20"/>
                <w:szCs w:val="20"/>
                <w:lang w:eastAsia="ro-RO"/>
              </w:rPr>
              <w:t>impune examinarea oportunității completării proiectului cu prevederi</w:t>
            </w:r>
            <w:r w:rsidR="008860F7" w:rsidRPr="000B32CE">
              <w:rPr>
                <w:rFonts w:ascii="Times New Roman" w:hAnsi="Times New Roman" w:cs="Times New Roman"/>
                <w:sz w:val="20"/>
                <w:szCs w:val="20"/>
                <w:lang w:eastAsia="ro-RO"/>
              </w:rPr>
              <w:t xml:space="preserve"> corespunzătoare privind competențele normative ale BNM, în vederea asigurării unei abordări unitare și coerente în executarea legii de către toate autoritățile competente.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AA456" w14:textId="77777777" w:rsidR="00865F05" w:rsidRDefault="00D36F49" w:rsidP="00D36F49">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w:t>
            </w:r>
            <w:r w:rsidR="005313AD" w:rsidRPr="000B32CE">
              <w:rPr>
                <w:rFonts w:ascii="Times New Roman" w:hAnsi="Times New Roman" w:cs="Times New Roman"/>
                <w:b/>
                <w:sz w:val="20"/>
                <w:szCs w:val="20"/>
                <w:lang w:val="ro-RO" w:eastAsia="ro-RO"/>
              </w:rPr>
              <w:t xml:space="preserve">e acceptă </w:t>
            </w:r>
          </w:p>
          <w:p w14:paraId="52FF5726" w14:textId="77777777" w:rsidR="00D36F49" w:rsidRPr="00D36F49" w:rsidRDefault="00D36F49" w:rsidP="00D36F49">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A</w:t>
            </w:r>
            <w:r w:rsidRPr="00D36F49">
              <w:rPr>
                <w:rFonts w:ascii="Times New Roman" w:hAnsi="Times New Roman" w:cs="Times New Roman"/>
                <w:bCs/>
                <w:sz w:val="20"/>
                <w:szCs w:val="20"/>
                <w:lang w:val="ro-RO" w:eastAsia="ro-RO"/>
              </w:rPr>
              <w:t xml:space="preserve">rt.168 alin.(3) a fost completat cu o dispoziție corespunzătoare privind </w:t>
            </w:r>
            <w:r w:rsidR="009B1422">
              <w:rPr>
                <w:rFonts w:ascii="Times New Roman" w:hAnsi="Times New Roman" w:cs="Times New Roman"/>
                <w:bCs/>
                <w:sz w:val="20"/>
                <w:szCs w:val="20"/>
                <w:lang w:val="ro-RO" w:eastAsia="ro-RO"/>
              </w:rPr>
              <w:t>BNM</w:t>
            </w:r>
            <w:r w:rsidRPr="00D36F49">
              <w:rPr>
                <w:rFonts w:ascii="Times New Roman" w:hAnsi="Times New Roman" w:cs="Times New Roman"/>
                <w:bCs/>
                <w:sz w:val="20"/>
                <w:szCs w:val="20"/>
                <w:lang w:val="ro-RO" w:eastAsia="ro-RO"/>
              </w:rPr>
              <w:t xml:space="preserve">, în considerarea calității acesteia de autoritate competentă în temeiul art.128 alin.(6) (precum și a regimului sancționator prevăzut la art.147 alin.(13) și art.148 alin.(5)). </w:t>
            </w:r>
          </w:p>
        </w:tc>
      </w:tr>
      <w:tr w:rsidR="000B32CE" w:rsidRPr="009B7C97" w14:paraId="09211350"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1A3881" w14:textId="77777777" w:rsidR="000B32CE" w:rsidRPr="000B32CE" w:rsidRDefault="000B32CE" w:rsidP="000B32CE">
            <w:pPr>
              <w:spacing w:after="0" w:line="240" w:lineRule="auto"/>
              <w:jc w:val="both"/>
              <w:rPr>
                <w:rFonts w:ascii="Times New Roman" w:hAnsi="Times New Roman" w:cs="Times New Roman"/>
                <w:b/>
                <w:sz w:val="20"/>
                <w:szCs w:val="20"/>
                <w:lang w:val="ro-RO" w:eastAsia="ro-RO"/>
              </w:rPr>
            </w:pPr>
            <w:r w:rsidRPr="000B32CE">
              <w:rPr>
                <w:rFonts w:ascii="Times New Roman" w:hAnsi="Times New Roman" w:cs="Times New Roman"/>
                <w:b/>
                <w:sz w:val="20"/>
                <w:szCs w:val="20"/>
                <w:lang w:val="ro-RO" w:eastAsia="ro-RO"/>
              </w:rPr>
              <w:t>Articolul 168. Dispoziții finale</w:t>
            </w:r>
          </w:p>
          <w:p w14:paraId="47F6996F" w14:textId="77777777" w:rsidR="00BF05FD" w:rsidRDefault="00BF05FD" w:rsidP="00B03A08">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 xml:space="preserve">(1) </w:t>
            </w:r>
            <w:r w:rsidRPr="00BF05FD">
              <w:rPr>
                <w:rFonts w:ascii="Times New Roman" w:hAnsi="Times New Roman" w:cs="Times New Roman"/>
                <w:bCs/>
                <w:sz w:val="20"/>
                <w:szCs w:val="20"/>
                <w:lang w:val="ro-RO" w:eastAsia="ro-RO"/>
              </w:rPr>
              <w:t>Prezenta lege intră în vigoare la data de 1 iunie 2027, cu excepţia dispozițiilor prevăzute la alin.(4).</w:t>
            </w:r>
          </w:p>
          <w:p w14:paraId="5A6918BB" w14:textId="77777777" w:rsidR="00BF05FD" w:rsidRDefault="00BF05FD" w:rsidP="00B03A08">
            <w:pPr>
              <w:spacing w:after="0" w:line="240" w:lineRule="auto"/>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w:t>
            </w:r>
          </w:p>
          <w:p w14:paraId="0CE69CDF" w14:textId="77777777" w:rsidR="00BF05FD" w:rsidRPr="00BF05FD" w:rsidRDefault="00BF05FD" w:rsidP="00B03A08">
            <w:pPr>
              <w:spacing w:after="0" w:line="240" w:lineRule="auto"/>
              <w:jc w:val="both"/>
              <w:rPr>
                <w:rFonts w:ascii="Times New Roman" w:hAnsi="Times New Roman" w:cs="Times New Roman"/>
                <w:bCs/>
                <w:sz w:val="20"/>
                <w:szCs w:val="20"/>
                <w:lang w:val="ro-RO" w:eastAsia="ro-RO"/>
              </w:rPr>
            </w:pPr>
            <w:r w:rsidRPr="00BF05FD">
              <w:rPr>
                <w:rFonts w:ascii="Times New Roman" w:hAnsi="Times New Roman" w:cs="Times New Roman"/>
                <w:bCs/>
                <w:sz w:val="20"/>
                <w:szCs w:val="20"/>
                <w:lang w:val="ro-RO" w:eastAsia="ro-RO"/>
              </w:rPr>
              <w:t xml:space="preserve">(4) Prevederile art.7 alin.(9), art.8, art.10 alin.(2) lit.d) și e), art.11 alin.(3) lit.d)-g) și alin.(11), art.13 alin.(15), art.14 alin.(8), </w:t>
            </w:r>
            <w:r w:rsidRPr="00BF05FD">
              <w:rPr>
                <w:rFonts w:ascii="Times New Roman" w:hAnsi="Times New Roman" w:cs="Times New Roman"/>
                <w:bCs/>
                <w:sz w:val="20"/>
                <w:szCs w:val="20"/>
                <w:lang w:val="ro-RO" w:eastAsia="ro-RO"/>
              </w:rPr>
              <w:lastRenderedPageBreak/>
              <w:t>art.16 alin.(13), art.20 alin.(20), art.41 alin.(10) și alin. (11), art.53 alin.(4)-(8), art.56 alin.(7), art.67-70, art.73 alin.(6), alin. (8) și alin.(9), art.80 alin.(5), art.81 alin.(2), art.85 alin.(9), art.90 alin.(3), art.91 alin.(7), art.94 alin.(2) lit.b), alin.(6) și alin.(7), art.95, art.100 alin.(7)-(9), art.101 lit.c)-e), art.102 alin.(10) și alin.(11), art.109 alin.(3), art.110 alin.(7) și alin.(9), art.111 alin.(8), art.119 alin.(2), art.122 alin.(8)-(13), alin.(17) și alin. (18), art.123 alin.(5), art.124 alin.(4) a 2-a propoziție, art.143 alin.(8), art.144 alin.(3), art.145 alin.(3) pct.2) și alin.(8), art.147 alin.(14), art.150 alin.(9) și alin.(10), art.153 alin.(5), art.158-162 și art.164-166 intră în vigoare la data intrării în vigoare a Tratatului de aderare a Republicii Moldova la UE: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61CCFD0" w14:textId="77777777" w:rsidR="000B32CE" w:rsidRPr="000B32CE" w:rsidRDefault="000B32CE" w:rsidP="000B32CE">
            <w:pPr>
              <w:spacing w:after="0" w:line="240" w:lineRule="auto"/>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b/>
                <w:bCs/>
                <w:sz w:val="20"/>
                <w:szCs w:val="20"/>
                <w:lang w:eastAsia="ro-RO"/>
              </w:rPr>
              <w:lastRenderedPageBreak/>
              <w:t>Ministerul Justiției</w:t>
            </w:r>
          </w:p>
          <w:p w14:paraId="1A5D05E7" w14:textId="77777777" w:rsidR="000B32CE" w:rsidRPr="000B32CE" w:rsidRDefault="000B32CE" w:rsidP="000B32CE">
            <w:pPr>
              <w:spacing w:after="0" w:line="240" w:lineRule="auto"/>
              <w:rPr>
                <w:rFonts w:ascii="Times New Roman" w:eastAsia="Times New Roman" w:hAnsi="Times New Roman" w:cs="Times New Roman"/>
                <w:b/>
                <w:bCs/>
                <w:sz w:val="20"/>
                <w:szCs w:val="20"/>
                <w:lang w:eastAsia="ro-RO"/>
              </w:rPr>
            </w:pPr>
            <w:r w:rsidRPr="000B32CE">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DB83041" w14:textId="77777777" w:rsidR="000B32CE" w:rsidRPr="000B32CE" w:rsidRDefault="000B32CE"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33</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01671" w14:textId="77777777" w:rsidR="000B32CE" w:rsidRPr="000B32CE" w:rsidRDefault="000B32CE" w:rsidP="00B03A08">
            <w:pPr>
              <w:tabs>
                <w:tab w:val="left" w:pos="1230"/>
              </w:tabs>
              <w:spacing w:after="0" w:line="240" w:lineRule="auto"/>
              <w:jc w:val="both"/>
              <w:rPr>
                <w:rFonts w:ascii="Times New Roman" w:hAnsi="Times New Roman" w:cs="Times New Roman"/>
                <w:sz w:val="20"/>
                <w:szCs w:val="20"/>
                <w:lang w:eastAsia="ro-RO"/>
              </w:rPr>
            </w:pPr>
            <w:r w:rsidRPr="000B32CE">
              <w:rPr>
                <w:rFonts w:ascii="Times New Roman" w:hAnsi="Times New Roman" w:cs="Times New Roman"/>
                <w:sz w:val="20"/>
                <w:szCs w:val="20"/>
                <w:lang w:eastAsia="ro-RO"/>
              </w:rPr>
              <w:t>Suplimentar, în același articol se recomandă comasarea prevederilor de la alin.(1) și (4), întrucât vizează intrarea în vigoare a normelor legii.</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9A506" w14:textId="77777777" w:rsidR="009B1422" w:rsidRDefault="009B1422" w:rsidP="009B1422">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t>S</w:t>
            </w:r>
            <w:r w:rsidRPr="000B32CE">
              <w:rPr>
                <w:rFonts w:ascii="Times New Roman" w:hAnsi="Times New Roman" w:cs="Times New Roman"/>
                <w:b/>
                <w:sz w:val="20"/>
                <w:szCs w:val="20"/>
                <w:lang w:val="ro-RO" w:eastAsia="ro-RO"/>
              </w:rPr>
              <w:t xml:space="preserve">e acceptă </w:t>
            </w:r>
          </w:p>
          <w:p w14:paraId="1D0CA4F5" w14:textId="77777777" w:rsidR="000B32CE" w:rsidRPr="000B32CE" w:rsidRDefault="000B32CE" w:rsidP="005313AD">
            <w:pPr>
              <w:spacing w:after="0" w:line="240" w:lineRule="auto"/>
              <w:jc w:val="both"/>
              <w:rPr>
                <w:rFonts w:ascii="Times New Roman" w:hAnsi="Times New Roman" w:cs="Times New Roman"/>
                <w:b/>
                <w:sz w:val="20"/>
                <w:szCs w:val="20"/>
                <w:lang w:val="ro-RO" w:eastAsia="ro-RO"/>
              </w:rPr>
            </w:pPr>
          </w:p>
        </w:tc>
      </w:tr>
      <w:tr w:rsidR="00B03A08" w:rsidRPr="009B7C97" w14:paraId="44D67771"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EA267" w14:textId="77777777" w:rsidR="00B03A08" w:rsidRPr="00980BF6" w:rsidRDefault="00B03A08" w:rsidP="00B03A08">
            <w:pPr>
              <w:spacing w:after="0" w:line="240" w:lineRule="auto"/>
              <w:rPr>
                <w:rFonts w:ascii="Times New Roman" w:eastAsia="Times New Roman" w:hAnsi="Times New Roman" w:cs="Times New Roman"/>
                <w:bCs/>
                <w:iCs/>
                <w:sz w:val="20"/>
                <w:szCs w:val="20"/>
                <w:lang w:val="ro-RO" w:eastAsia="ro-RO"/>
              </w:rPr>
            </w:pPr>
            <w:r w:rsidRPr="00980BF6">
              <w:rPr>
                <w:rFonts w:ascii="Times New Roman" w:eastAsia="Times New Roman" w:hAnsi="Times New Roman" w:cs="Times New Roman"/>
                <w:bCs/>
                <w:iCs/>
                <w:sz w:val="20"/>
                <w:szCs w:val="20"/>
                <w:lang w:eastAsia="ro-RO"/>
              </w:rPr>
              <w:t>Observații privind Clauza de armonizare</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9280D" w14:textId="77777777" w:rsidR="00B03A08" w:rsidRDefault="00B03A08" w:rsidP="00B03A08">
            <w:pPr>
              <w:spacing w:after="0" w:line="240" w:lineRule="auto"/>
              <w:rPr>
                <w:rFonts w:ascii="Times New Roman" w:eastAsia="Times New Roman" w:hAnsi="Times New Roman" w:cs="Times New Roman"/>
                <w:b/>
                <w:bCs/>
                <w:sz w:val="20"/>
                <w:szCs w:val="20"/>
                <w:lang w:eastAsia="ro-RO"/>
              </w:rPr>
            </w:pPr>
            <w:r w:rsidRPr="00136500">
              <w:rPr>
                <w:rFonts w:ascii="Times New Roman" w:eastAsia="Times New Roman" w:hAnsi="Times New Roman" w:cs="Times New Roman"/>
                <w:b/>
                <w:bCs/>
                <w:sz w:val="20"/>
                <w:szCs w:val="20"/>
                <w:lang w:eastAsia="ro-RO"/>
              </w:rPr>
              <w:t>Centrul de Armonizare a Legislației</w:t>
            </w:r>
          </w:p>
          <w:p w14:paraId="62E2645F" w14:textId="77777777" w:rsidR="00263797" w:rsidRPr="00984273" w:rsidRDefault="00263797" w:rsidP="00263797">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(scrisoare nr.31/02-</w:t>
            </w:r>
          </w:p>
          <w:p w14:paraId="22316EB3" w14:textId="77777777" w:rsidR="00263797" w:rsidRPr="0030706D" w:rsidRDefault="00263797" w:rsidP="00263797">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sz w:val="20"/>
                <w:szCs w:val="20"/>
                <w:lang w:eastAsia="ro-RO"/>
              </w:rPr>
              <w:t>126-5541 din 15.05.2026)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D7088DD" w14:textId="77777777" w:rsidR="00B03A08" w:rsidRDefault="000B32CE" w:rsidP="0007420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w:t>
            </w:r>
            <w:r w:rsidR="00074208">
              <w:rPr>
                <w:rFonts w:ascii="Times New Roman" w:eastAsia="Times New Roman" w:hAnsi="Times New Roman" w:cs="Times New Roman"/>
                <w:b/>
                <w:bCs/>
                <w:sz w:val="20"/>
                <w:szCs w:val="20"/>
                <w:lang w:eastAsia="ro-RO"/>
              </w:rPr>
              <w:t>4</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3F7D32"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În cazul în care se va ține cont de observațiile expuse supra, clauza de armonizare a proiectului național se va expune după clauza de adoptare, în redacția următoare: </w:t>
            </w:r>
          </w:p>
          <w:p w14:paraId="3BB2CB1E"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,,Prezenta Lege: </w:t>
            </w:r>
          </w:p>
          <w:p w14:paraId="55272393"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 transpune Directiva 2014/65/UE a Parlamentului European și a Consiliului din 15 mai 2014 privind piețele instrumentelor financiare și de modificare a Directivei 2002/92/CE și a Directivei 2011/61/UE (reformare), CELEX: 32014L0065, publicată în Jurnalul Oficial al 17 Uniunii Europene L 173 din 12 iunie 2014, astfel cum a fost modificată ultima dată prin Directiva 2024/2811 a Parlamentului European și a Consiliului din 23 octombrie 2024; </w:t>
            </w:r>
          </w:p>
          <w:p w14:paraId="598CAAE6"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 transpune parțial Directiva delegată (UE) 2017/593 a Comisiei din 7 aprilie 2016 de completare a Directivei 2014/65/UE a Parlamentului European și a Consiliului în ceea ce privește protejarea instrumentelor financiare și a fondurilor care aparțin clienților, obligațiile de guvernanță a produsului și normele aplicabile la acordarea sau primirea de onorarii, comisioane sau alte tipuri de beneficii pecuniare sau nepecuniare, CELEX: 32017L0593, publicată în Jurnalul Oficial al Uniunii Europene L 87 din 31 martie </w:t>
            </w:r>
            <w:r w:rsidRPr="00890698">
              <w:rPr>
                <w:rFonts w:ascii="Times New Roman" w:hAnsi="Times New Roman" w:cs="Times New Roman"/>
                <w:sz w:val="20"/>
                <w:szCs w:val="20"/>
                <w:lang w:eastAsia="ro-RO"/>
              </w:rPr>
              <w:lastRenderedPageBreak/>
              <w:t>2017, astfel cum a fost modificată ultima dată prin Directiva delegată (UE) 2021/1269 a Comisiei din 21 aprilie 2021,</w:t>
            </w:r>
          </w:p>
          <w:p w14:paraId="048513FF"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 transpune parțial Regulamentul delegat (UE) 2017/565 al Comisiei din 25 aprilie 2016 de completare a Directivei 2014/65/UE a Parlamentului European și a Consiliului în ceea ce privește cerințele organizatorice și condițiile de funcționare aplicabile firmelor de investiții și termenii definiți în sensul directivei menționate, CELEX: 32017R0565, publicat în Jurnalul Oficial al Uniunii Europene L 87 din 31 martie 2017, astfel cum a fost modificat ultima dată prin Regulamentul delegat (UE) 2021/1254 al Comisiei din 21 aprilie 2021; </w:t>
            </w:r>
          </w:p>
          <w:p w14:paraId="005CDA55"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 transpune parțial Regulamentul (UE) nr.600/2014 al Parlamentului European și al Consiliului din 15 mai 2014 privind piețele instrumentelor financiare și de modificare a Regulamentului (UE) nr. 648/2012, CELEX: 32014R0600, publicat în Jurnalul Oficial al Uniunii Europene L 173 din 12 iunie 2014, astfel cum a fost modificat ultima dată prin Regulamentul delegat (UE) 2025/1156 al Comisiei din 12 iunie 2025; </w:t>
            </w:r>
          </w:p>
          <w:p w14:paraId="0530A74E" w14:textId="77777777" w:rsidR="00B03A08" w:rsidRDefault="00B03A08" w:rsidP="00B03A08">
            <w:pPr>
              <w:spacing w:after="0" w:line="240" w:lineRule="auto"/>
              <w:jc w:val="both"/>
              <w:rPr>
                <w:rFonts w:ascii="Times New Roman" w:hAnsi="Times New Roman" w:cs="Times New Roman"/>
                <w:sz w:val="20"/>
                <w:szCs w:val="20"/>
                <w:lang w:eastAsia="ro-RO"/>
              </w:rPr>
            </w:pPr>
            <w:r w:rsidRPr="00890698">
              <w:rPr>
                <w:rFonts w:ascii="Times New Roman" w:hAnsi="Times New Roman" w:cs="Times New Roman"/>
                <w:sz w:val="20"/>
                <w:szCs w:val="20"/>
                <w:lang w:eastAsia="ro-RO"/>
              </w:rPr>
              <w:t xml:space="preserve">– transpune parțial Regulamentul (UE) nr.236/2012 al Parlamentului European și al Consiliului din 14 martie 2012 privind vânzarea în lipsă și anumite aspecte ale swapurilor pe riscul de credit, CELEX: 32012R0236, publicat în Jurnalul Oficial al Uniunii Europene L 86 din 24 martie 2012, astfel cum a fost modificat ultima dată prin Regulamentul (UE) 2023/2845 al Parlamentului European și al Consiliului din 13 decembrie 2023; </w:t>
            </w:r>
          </w:p>
          <w:p w14:paraId="368F0633" w14:textId="77777777" w:rsidR="00B03A08" w:rsidRPr="00992538" w:rsidRDefault="00B03A08" w:rsidP="00B03A08">
            <w:pPr>
              <w:spacing w:after="0" w:line="240" w:lineRule="auto"/>
              <w:jc w:val="both"/>
              <w:rPr>
                <w:rFonts w:ascii="Times New Roman" w:hAnsi="Times New Roman" w:cs="Times New Roman"/>
                <w:sz w:val="20"/>
                <w:szCs w:val="20"/>
                <w:lang w:val="ro-RO" w:eastAsia="ro-RO"/>
              </w:rPr>
            </w:pPr>
            <w:r w:rsidRPr="00890698">
              <w:rPr>
                <w:rFonts w:ascii="Times New Roman" w:hAnsi="Times New Roman" w:cs="Times New Roman"/>
                <w:sz w:val="20"/>
                <w:szCs w:val="20"/>
                <w:lang w:eastAsia="ro-RO"/>
              </w:rPr>
              <w:t>– transpune parțial Regulamentul (UE) nr.2015/2365 al Parlamentului European și al Consiliului din 25 noiembrie 2015 privind transparența operațiunilor de finanțare prin instrumente financiare și transparența reutilizării și de modificare a Regulamentului (UE) nr.648/2012, CELEX: 32015R2365, publicat în Jurnalul Oficial al Uniunii Europene L 337 din 23 decembrie 2015, astfel cum a fost modificat ultima dată prin Regulamentul (UE) 2023/2869 al Parlamentului European și al Consiliului din 13 decembrie 2023”</w:t>
            </w:r>
            <w:r>
              <w:rPr>
                <w:rFonts w:ascii="Times New Roman" w:hAnsi="Times New Roman" w:cs="Times New Roman"/>
                <w:sz w:val="20"/>
                <w:szCs w:val="20"/>
                <w:lang w:eastAsia="ro-RO"/>
              </w:rPr>
              <w:t>.</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D907B" w14:textId="77777777" w:rsidR="00B03A08" w:rsidRDefault="00B03A08" w:rsidP="00B03A08">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
                <w:sz w:val="20"/>
                <w:szCs w:val="20"/>
                <w:lang w:val="ro-RO" w:eastAsia="ro-RO"/>
              </w:rPr>
              <w:lastRenderedPageBreak/>
              <w:t>Se acceptă</w:t>
            </w:r>
            <w:r w:rsidR="00074208">
              <w:rPr>
                <w:rFonts w:ascii="Times New Roman" w:hAnsi="Times New Roman" w:cs="Times New Roman"/>
                <w:b/>
                <w:sz w:val="20"/>
                <w:szCs w:val="20"/>
                <w:lang w:val="ro-RO" w:eastAsia="ro-RO"/>
              </w:rPr>
              <w:t>.</w:t>
            </w:r>
          </w:p>
          <w:p w14:paraId="5FCC89FC" w14:textId="77777777" w:rsidR="00074208" w:rsidRPr="00074208" w:rsidRDefault="00074208" w:rsidP="00B03A08">
            <w:pPr>
              <w:spacing w:after="0" w:line="240" w:lineRule="auto"/>
              <w:jc w:val="both"/>
              <w:rPr>
                <w:rFonts w:ascii="Times New Roman" w:hAnsi="Times New Roman" w:cs="Times New Roman"/>
                <w:sz w:val="20"/>
                <w:szCs w:val="20"/>
                <w:lang w:val="ro-RO" w:eastAsia="ro-RO"/>
              </w:rPr>
            </w:pPr>
            <w:r w:rsidRPr="00074208">
              <w:rPr>
                <w:rFonts w:ascii="Times New Roman" w:hAnsi="Times New Roman" w:cs="Times New Roman"/>
                <w:sz w:val="20"/>
                <w:szCs w:val="20"/>
                <w:lang w:val="ro-RO" w:eastAsia="ro-RO"/>
              </w:rPr>
              <w:t>Clauza a fost expusă conform propunerii.</w:t>
            </w:r>
          </w:p>
        </w:tc>
      </w:tr>
      <w:tr w:rsidR="00B03A08" w:rsidRPr="009B7C97" w14:paraId="0D7CA4AD"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72B0FD4B" w14:textId="77777777" w:rsidR="00B03A08" w:rsidRPr="00FF2FF9" w:rsidRDefault="00B03A08" w:rsidP="00B03A08">
            <w:pPr>
              <w:spacing w:after="0" w:line="240" w:lineRule="auto"/>
              <w:rPr>
                <w:rFonts w:ascii="Times New Roman" w:eastAsia="Times New Roman" w:hAnsi="Times New Roman" w:cs="Times New Roman"/>
                <w:b/>
                <w:iCs/>
                <w:sz w:val="20"/>
                <w:szCs w:val="20"/>
                <w:lang w:eastAsia="ro-RO"/>
              </w:rPr>
            </w:pPr>
            <w:r w:rsidRPr="00FF2FF9">
              <w:rPr>
                <w:rFonts w:ascii="Times New Roman" w:eastAsia="Times New Roman" w:hAnsi="Times New Roman" w:cs="Times New Roman"/>
                <w:b/>
                <w:iCs/>
                <w:sz w:val="20"/>
                <w:szCs w:val="20"/>
                <w:lang w:eastAsia="ro-RO"/>
              </w:rPr>
              <w:t>În contextul proiectului</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AF21EE2" w14:textId="77777777" w:rsidR="00B03A08" w:rsidRPr="00136500" w:rsidRDefault="00B03A08" w:rsidP="00B03A08">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Centrul Național Anticorupție al </w:t>
            </w:r>
            <w:r>
              <w:rPr>
                <w:rFonts w:ascii="Times New Roman" w:eastAsia="Times New Roman" w:hAnsi="Times New Roman" w:cs="Times New Roman"/>
                <w:b/>
                <w:bCs/>
                <w:sz w:val="20"/>
                <w:szCs w:val="20"/>
                <w:lang w:eastAsia="ro-RO"/>
              </w:rPr>
              <w:lastRenderedPageBreak/>
              <w:t xml:space="preserve">Republicii Moldova </w:t>
            </w:r>
            <w:r w:rsidRPr="00B739FA">
              <w:rPr>
                <w:rFonts w:ascii="Times New Roman" w:eastAsia="Times New Roman" w:hAnsi="Times New Roman" w:cs="Times New Roman"/>
                <w:sz w:val="20"/>
                <w:szCs w:val="20"/>
                <w:lang w:eastAsia="ro-RO"/>
              </w:rPr>
              <w:t>(scrisoare nr.06/2/10332 din 08.06.2026)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59788AA" w14:textId="77777777" w:rsidR="00B03A08" w:rsidRDefault="00074208" w:rsidP="00CE179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lastRenderedPageBreak/>
              <w:t>35</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29CF4"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În conținutul proiectului se atestă atribuirea unor drepturi CNPF după formula „a putea”.</w:t>
            </w:r>
          </w:p>
          <w:p w14:paraId="5F2C0326"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lastRenderedPageBreak/>
              <w:t>Astfel, utilizarea textelor din norme, precum „CNPF poate (stabili/aproba/elabora/retrage (...), CNPF este în drept să...)” de la art.6 alin.(10), art.7 alin.(2), art.8 alin.(2), art.16 alin.(1), art.19 alin.(6), art.20 alin.(8), art.21 alin.(9) și alte norme din proiect denotă ambiguitate administrativă în privința aplicării uniforme a normelor.</w:t>
            </w:r>
          </w:p>
          <w:p w14:paraId="36819FB9"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Astfel, formulările din norme prin utilizarea verbului „a putea” duc la confuzii și diferențe de tratare a sensului și acțiunii autorității publice.</w:t>
            </w:r>
          </w:p>
          <w:p w14:paraId="25D94AA9"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Fiind instituit un drept, entitatea publică poate abuza de acesta și aplica norma diferit în aceleași situații juridice, în dependență de interes și scop.</w:t>
            </w:r>
          </w:p>
          <w:p w14:paraId="1C11EFB1"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În aceste condiții, în una și aceeași situație juridică identică, autoritatea publică va putea lua decizii în mod unilateral diferite.</w:t>
            </w:r>
          </w:p>
          <w:p w14:paraId="772518E9"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Considerăm că odată ce sunt întrunite anumite condiții prestabilite, entitatea publică urmează să aplice norma în mod uniform, astfel, având o obligație de conformare și executare a normei.</w:t>
            </w:r>
          </w:p>
          <w:p w14:paraId="6539AB03"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În acest sens, spre exemplu, nu este clar de ce se propune la art.15 alin.(1) norma să instituie obligația CNPF de a respinge o cerere de acordare a autorizației de firmă de investiții deși norma în continuare stabilește cazurile de retragere.</w:t>
            </w:r>
          </w:p>
          <w:p w14:paraId="70628268"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La fel, nu este clar, spre exemplu, de ce la art. 20 alin.(9) și alin.(10) CNPF „este în drept să...” odată ce norma stabilește clar anumite condiții, astfel încât CNPF urmează să fie obligat să întreprindă acțiunile ce se impun.</w:t>
            </w:r>
          </w:p>
          <w:p w14:paraId="0E31B457"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Totodată, menționăm că în proiect sunt atestate norme care stabilesc expres obligații de conformare CNPF și atribuie direct competențe clare de acțiune. Astfel, spre exemplu, normele statuate la articolul 12 alin.(13), art.13 alin.(4), art. 13 alin.(18) instituie expres obligația CNPF „de a stabili reguli prin actele sale normative (...)”, art.14 alin.(15) – „CNPF decide asupra cererii”; art.15 alin.(1) – CNPF respinge o cerere (...) dacă (...) și alte norme.</w:t>
            </w:r>
          </w:p>
          <w:p w14:paraId="23E01818"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În final, ambiguitățile administrative create vor permite, în unele cazuri, aplicarea normelor în mod confuz.</w:t>
            </w:r>
          </w:p>
          <w:p w14:paraId="670903D1" w14:textId="77777777" w:rsidR="00B03A08" w:rsidRPr="00611D4F" w:rsidRDefault="00B03A08" w:rsidP="00B03A08">
            <w:pPr>
              <w:spacing w:after="0" w:line="240" w:lineRule="auto"/>
              <w:jc w:val="both"/>
              <w:rPr>
                <w:rFonts w:ascii="Times New Roman" w:hAnsi="Times New Roman" w:cs="Times New Roman"/>
                <w:sz w:val="20"/>
                <w:szCs w:val="20"/>
                <w:lang w:eastAsia="ro-RO"/>
              </w:rPr>
            </w:pPr>
            <w:r w:rsidRPr="00611D4F">
              <w:rPr>
                <w:rFonts w:ascii="Times New Roman" w:hAnsi="Times New Roman" w:cs="Times New Roman"/>
                <w:sz w:val="20"/>
                <w:szCs w:val="20"/>
                <w:lang w:eastAsia="ro-RO"/>
              </w:rPr>
              <w:t xml:space="preserve">Propunem autorului reexaminarea întregului conținut al proiectului de lege prin care se instituie drepturi CNPF prin formula „a putea” și reexaminarea situațiilor în care CNPF urmează să fie obligată să </w:t>
            </w:r>
            <w:r w:rsidRPr="00611D4F">
              <w:rPr>
                <w:rFonts w:ascii="Times New Roman" w:hAnsi="Times New Roman" w:cs="Times New Roman"/>
                <w:sz w:val="20"/>
                <w:szCs w:val="20"/>
                <w:lang w:eastAsia="ro-RO"/>
              </w:rPr>
              <w:lastRenderedPageBreak/>
              <w:t>aplice norma în redacția din proiect prin instituirea unei obligații, excluzând dreptul de a decide.</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E4647B" w14:textId="77777777" w:rsidR="00B03A08" w:rsidRPr="00623E2C" w:rsidRDefault="00E91518" w:rsidP="00B03A08">
            <w:pPr>
              <w:spacing w:after="0" w:line="240" w:lineRule="auto"/>
              <w:jc w:val="both"/>
              <w:rPr>
                <w:rFonts w:ascii="Times New Roman" w:hAnsi="Times New Roman" w:cs="Times New Roman"/>
                <w:b/>
                <w:sz w:val="20"/>
                <w:szCs w:val="20"/>
                <w:lang w:val="ro-RO" w:eastAsia="ro-RO"/>
              </w:rPr>
            </w:pPr>
            <w:r w:rsidRPr="00623E2C">
              <w:rPr>
                <w:rFonts w:ascii="Times New Roman" w:hAnsi="Times New Roman" w:cs="Times New Roman"/>
                <w:b/>
                <w:sz w:val="20"/>
                <w:szCs w:val="20"/>
                <w:lang w:val="ro-RO" w:eastAsia="ro-RO"/>
              </w:rPr>
              <w:lastRenderedPageBreak/>
              <w:t>S</w:t>
            </w:r>
            <w:r w:rsidR="005313AD" w:rsidRPr="00623E2C">
              <w:rPr>
                <w:rFonts w:ascii="Times New Roman" w:hAnsi="Times New Roman" w:cs="Times New Roman"/>
                <w:b/>
                <w:sz w:val="20"/>
                <w:szCs w:val="20"/>
                <w:lang w:val="ro-RO" w:eastAsia="ro-RO"/>
              </w:rPr>
              <w:t>e acceptă</w:t>
            </w:r>
            <w:r w:rsidRPr="00623E2C">
              <w:rPr>
                <w:rFonts w:ascii="Times New Roman" w:hAnsi="Times New Roman" w:cs="Times New Roman"/>
                <w:b/>
                <w:sz w:val="20"/>
                <w:szCs w:val="20"/>
                <w:lang w:val="ro-RO" w:eastAsia="ro-RO"/>
              </w:rPr>
              <w:t xml:space="preserve"> parțial.</w:t>
            </w:r>
            <w:r w:rsidR="005313AD" w:rsidRPr="00623E2C">
              <w:rPr>
                <w:rFonts w:ascii="Times New Roman" w:hAnsi="Times New Roman" w:cs="Times New Roman"/>
                <w:b/>
                <w:sz w:val="20"/>
                <w:szCs w:val="20"/>
                <w:lang w:val="ro-RO" w:eastAsia="ro-RO"/>
              </w:rPr>
              <w:t xml:space="preserve"> </w:t>
            </w:r>
          </w:p>
          <w:p w14:paraId="57EFB0AD" w14:textId="77777777" w:rsidR="00623E2C" w:rsidRPr="00623E2C" w:rsidRDefault="00623E2C" w:rsidP="00623E2C">
            <w:pPr>
              <w:spacing w:after="0" w:line="240" w:lineRule="auto"/>
              <w:jc w:val="both"/>
              <w:rPr>
                <w:rFonts w:ascii="Times New Roman" w:hAnsi="Times New Roman" w:cs="Times New Roman"/>
                <w:bCs/>
                <w:sz w:val="20"/>
                <w:szCs w:val="20"/>
                <w:lang w:val="ro-RO" w:eastAsia="ro-RO"/>
              </w:rPr>
            </w:pPr>
            <w:r w:rsidRPr="00623E2C">
              <w:rPr>
                <w:rFonts w:ascii="Times New Roman" w:hAnsi="Times New Roman" w:cs="Times New Roman"/>
                <w:bCs/>
                <w:sz w:val="20"/>
                <w:szCs w:val="20"/>
                <w:lang w:val="ro-RO" w:eastAsia="ro-RO"/>
              </w:rPr>
              <w:t>Ca urmare a observației, formulările prin care se atribuie competențe CNPF prin „poate</w:t>
            </w:r>
            <w:r>
              <w:rPr>
                <w:rFonts w:ascii="Times New Roman" w:hAnsi="Times New Roman" w:cs="Times New Roman"/>
                <w:bCs/>
                <w:sz w:val="20"/>
                <w:szCs w:val="20"/>
                <w:lang w:val="ro-RO" w:eastAsia="ro-RO"/>
              </w:rPr>
              <w:t>”</w:t>
            </w:r>
            <w:r w:rsidRPr="00623E2C">
              <w:rPr>
                <w:rFonts w:ascii="Times New Roman" w:hAnsi="Times New Roman" w:cs="Times New Roman"/>
                <w:bCs/>
                <w:sz w:val="20"/>
                <w:szCs w:val="20"/>
                <w:lang w:val="ro-RO" w:eastAsia="ro-RO"/>
              </w:rPr>
              <w:t>/„este în drept</w:t>
            </w:r>
            <w:r>
              <w:rPr>
                <w:rFonts w:ascii="Times New Roman" w:hAnsi="Times New Roman" w:cs="Times New Roman"/>
                <w:bCs/>
                <w:sz w:val="20"/>
                <w:szCs w:val="20"/>
                <w:lang w:val="ro-RO" w:eastAsia="ro-RO"/>
              </w:rPr>
              <w:t>”</w:t>
            </w:r>
            <w:r w:rsidRPr="00623E2C">
              <w:rPr>
                <w:rFonts w:ascii="Times New Roman" w:hAnsi="Times New Roman" w:cs="Times New Roman"/>
                <w:bCs/>
                <w:sz w:val="20"/>
                <w:szCs w:val="20"/>
                <w:lang w:val="ro-RO" w:eastAsia="ro-RO"/>
              </w:rPr>
              <w:t>/„are dreptul</w:t>
            </w:r>
            <w:r>
              <w:rPr>
                <w:rFonts w:ascii="Times New Roman" w:hAnsi="Times New Roman" w:cs="Times New Roman"/>
                <w:bCs/>
                <w:sz w:val="20"/>
                <w:szCs w:val="20"/>
                <w:lang w:val="ro-RO" w:eastAsia="ro-RO"/>
              </w:rPr>
              <w:t>”</w:t>
            </w:r>
            <w:r w:rsidRPr="00623E2C">
              <w:rPr>
                <w:rFonts w:ascii="Times New Roman" w:hAnsi="Times New Roman" w:cs="Times New Roman"/>
                <w:bCs/>
                <w:sz w:val="20"/>
                <w:szCs w:val="20"/>
                <w:lang w:val="ro-RO" w:eastAsia="ro-RO"/>
              </w:rPr>
              <w:t xml:space="preserve"> au fost reexaminate în integralitatea proiectului, iar utilizarea acestora a fost exclusă în cea mai mare măsură posibilă. Astfel, formulările au fost reformulate la modul indicativ prezent, cu valoare imperativă, în toate cazurile în care: (i) aplicarea normei este condiționată de întrunirea unor circumstanțe obiective ori de constatarea acestora de către CNPF, a căror survenire impune autorității să acționeze (de ex. art.19 alin.(6), art.23 alin.(2), art.26 alin.(3), art.27 alin.(5)-(9), art.30, art.142 alin.(7)); și (ii) dispoziția conferă o competență de bază ce se materializează în mod necesar în executarea legii (de ex. art.7 alin.(2), art.8 alin.(2)).</w:t>
            </w:r>
          </w:p>
          <w:p w14:paraId="2159CF91" w14:textId="77777777" w:rsidR="00623E2C" w:rsidRPr="00A55A88" w:rsidRDefault="00623E2C" w:rsidP="00623E2C">
            <w:pPr>
              <w:spacing w:after="0" w:line="240" w:lineRule="auto"/>
              <w:jc w:val="both"/>
              <w:rPr>
                <w:rFonts w:ascii="Times New Roman" w:hAnsi="Times New Roman" w:cs="Times New Roman"/>
                <w:bCs/>
                <w:sz w:val="20"/>
                <w:szCs w:val="20"/>
                <w:lang w:val="ro-RO" w:eastAsia="ro-RO"/>
              </w:rPr>
            </w:pPr>
            <w:r w:rsidRPr="00623E2C">
              <w:rPr>
                <w:rFonts w:ascii="Times New Roman" w:hAnsi="Times New Roman" w:cs="Times New Roman"/>
                <w:bCs/>
                <w:sz w:val="20"/>
                <w:szCs w:val="20"/>
                <w:lang w:val="ro-RO" w:eastAsia="ro-RO"/>
              </w:rPr>
              <w:t>Au fost menținute în varianta inițială, prin formula „poate</w:t>
            </w:r>
            <w:r>
              <w:rPr>
                <w:rFonts w:ascii="Times New Roman" w:hAnsi="Times New Roman" w:cs="Times New Roman"/>
                <w:bCs/>
                <w:sz w:val="20"/>
                <w:szCs w:val="20"/>
                <w:lang w:val="ro-RO" w:eastAsia="ro-RO"/>
              </w:rPr>
              <w:t>”</w:t>
            </w:r>
            <w:r w:rsidRPr="00623E2C">
              <w:rPr>
                <w:rFonts w:ascii="Times New Roman" w:hAnsi="Times New Roman" w:cs="Times New Roman"/>
                <w:bCs/>
                <w:sz w:val="20"/>
                <w:szCs w:val="20"/>
                <w:lang w:val="ro-RO" w:eastAsia="ro-RO"/>
              </w:rPr>
              <w:t>/„este în drept</w:t>
            </w:r>
            <w:r>
              <w:rPr>
                <w:rFonts w:ascii="Times New Roman" w:hAnsi="Times New Roman" w:cs="Times New Roman"/>
                <w:bCs/>
                <w:sz w:val="20"/>
                <w:szCs w:val="20"/>
                <w:lang w:val="ro-RO" w:eastAsia="ro-RO"/>
              </w:rPr>
              <w:t>”</w:t>
            </w:r>
            <w:r w:rsidRPr="00623E2C">
              <w:rPr>
                <w:rFonts w:ascii="Times New Roman" w:hAnsi="Times New Roman" w:cs="Times New Roman"/>
                <w:bCs/>
                <w:sz w:val="20"/>
                <w:szCs w:val="20"/>
                <w:lang w:val="ro-RO" w:eastAsia="ro-RO"/>
              </w:rPr>
              <w:t>, doar normele în care reformularea ca obligație ar fi contrară acquis-ului UE sau naturii competenței</w:t>
            </w:r>
            <w:r>
              <w:rPr>
                <w:rFonts w:ascii="Times New Roman" w:hAnsi="Times New Roman" w:cs="Times New Roman"/>
                <w:bCs/>
                <w:sz w:val="20"/>
                <w:szCs w:val="20"/>
                <w:lang w:val="ro-RO" w:eastAsia="ro-RO"/>
              </w:rPr>
              <w:t>.</w:t>
            </w:r>
          </w:p>
        </w:tc>
      </w:tr>
      <w:tr w:rsidR="000B32CE" w:rsidRPr="009B7C97" w14:paraId="4426AA58" w14:textId="77777777" w:rsidTr="00CE1798">
        <w:trPr>
          <w:trHeight w:val="41"/>
          <w:jc w:val="center"/>
        </w:trPr>
        <w:tc>
          <w:tcPr>
            <w:tcW w:w="11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01C640C4" w14:textId="77777777" w:rsidR="000B32CE" w:rsidRPr="00FF2FF9" w:rsidRDefault="000B32CE" w:rsidP="000B32CE">
            <w:pPr>
              <w:spacing w:after="0" w:line="240" w:lineRule="auto"/>
              <w:rPr>
                <w:rFonts w:ascii="Times New Roman" w:eastAsia="Times New Roman" w:hAnsi="Times New Roman" w:cs="Times New Roman"/>
                <w:b/>
                <w:iCs/>
                <w:sz w:val="20"/>
                <w:szCs w:val="20"/>
                <w:lang w:eastAsia="ro-RO"/>
              </w:rPr>
            </w:pPr>
            <w:r w:rsidRPr="00FF2FF9">
              <w:rPr>
                <w:rFonts w:ascii="Times New Roman" w:eastAsia="Times New Roman" w:hAnsi="Times New Roman" w:cs="Times New Roman"/>
                <w:b/>
                <w:iCs/>
                <w:sz w:val="20"/>
                <w:szCs w:val="20"/>
                <w:lang w:eastAsia="ro-RO"/>
              </w:rPr>
              <w:lastRenderedPageBreak/>
              <w:t>În contextul proiectului</w:t>
            </w:r>
          </w:p>
        </w:tc>
        <w:tc>
          <w:tcPr>
            <w:tcW w:w="59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2DAF505C" w14:textId="77777777" w:rsidR="000B32CE" w:rsidRDefault="000B32CE" w:rsidP="000B32CE">
            <w:pPr>
              <w:spacing w:after="0" w:line="240" w:lineRule="auto"/>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Ministerul Justiției</w:t>
            </w:r>
          </w:p>
          <w:p w14:paraId="39AA92E5" w14:textId="77777777" w:rsidR="000B32CE" w:rsidRDefault="000B32CE" w:rsidP="000B32CE">
            <w:pPr>
              <w:spacing w:after="0" w:line="240" w:lineRule="auto"/>
              <w:rPr>
                <w:rFonts w:ascii="Times New Roman" w:eastAsia="Times New Roman" w:hAnsi="Times New Roman" w:cs="Times New Roman"/>
                <w:b/>
                <w:bCs/>
                <w:sz w:val="20"/>
                <w:szCs w:val="20"/>
                <w:lang w:eastAsia="ro-RO"/>
              </w:rPr>
            </w:pPr>
            <w:r w:rsidRPr="00B84D15">
              <w:rPr>
                <w:rFonts w:ascii="Times New Roman" w:eastAsia="Times New Roman" w:hAnsi="Times New Roman" w:cs="Times New Roman"/>
                <w:sz w:val="20"/>
                <w:szCs w:val="20"/>
                <w:lang w:eastAsia="ro-RO"/>
              </w:rPr>
              <w:t>(scrisoare nr.04/2-6556 din 16.06.2026)</w:t>
            </w:r>
          </w:p>
        </w:tc>
        <w:tc>
          <w:tcPr>
            <w:tcW w:w="1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14:paraId="5FD231E2" w14:textId="77777777" w:rsidR="000B32CE" w:rsidRDefault="00074208" w:rsidP="00074208">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36</w:t>
            </w:r>
          </w:p>
        </w:tc>
        <w:tc>
          <w:tcPr>
            <w:tcW w:w="17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08B03" w14:textId="77777777" w:rsidR="000B32CE" w:rsidRPr="00572F86" w:rsidRDefault="000B32CE" w:rsidP="000B32CE">
            <w:pPr>
              <w:spacing w:after="0" w:line="240" w:lineRule="auto"/>
              <w:jc w:val="both"/>
              <w:rPr>
                <w:rFonts w:ascii="Times New Roman" w:hAnsi="Times New Roman" w:cs="Times New Roman"/>
                <w:sz w:val="20"/>
                <w:szCs w:val="20"/>
                <w:lang w:eastAsia="ro-RO"/>
              </w:rPr>
            </w:pPr>
            <w:r w:rsidRPr="00572F86">
              <w:rPr>
                <w:rFonts w:ascii="Times New Roman" w:hAnsi="Times New Roman" w:cs="Times New Roman"/>
                <w:sz w:val="20"/>
                <w:szCs w:val="20"/>
                <w:lang w:eastAsia="ro-RO"/>
              </w:rPr>
              <w:t>Se constată că proiectul instituie, în mai multe cazuri, derogări generale de la Codul administrativ, însă nu indică dispozițiile concrete vizate și nici efectele juridice ale derogării. O asemenea redactare nu permite determinarea cu suficientă claritate a normelor procedurale aplicabile și poate genera incertitudine juridică în procesul de interpretare și aplicare a actului normativ.</w:t>
            </w:r>
          </w:p>
          <w:p w14:paraId="6471B8BF" w14:textId="77777777" w:rsidR="000B32CE" w:rsidRPr="00572F86" w:rsidRDefault="000B32CE" w:rsidP="000B32CE">
            <w:pPr>
              <w:spacing w:after="0" w:line="240" w:lineRule="auto"/>
              <w:jc w:val="both"/>
              <w:rPr>
                <w:rFonts w:ascii="Times New Roman" w:hAnsi="Times New Roman" w:cs="Times New Roman"/>
                <w:sz w:val="20"/>
                <w:szCs w:val="20"/>
                <w:lang w:eastAsia="ro-RO"/>
              </w:rPr>
            </w:pPr>
            <w:r w:rsidRPr="00572F86">
              <w:rPr>
                <w:rFonts w:ascii="Times New Roman" w:hAnsi="Times New Roman" w:cs="Times New Roman"/>
                <w:sz w:val="20"/>
                <w:szCs w:val="20"/>
                <w:lang w:eastAsia="ro-RO"/>
              </w:rPr>
              <w:t>În conformitate cu cerințele de claritate, previzibilitate și accesibilitate a normei juridice, precum și cu regulile de tehnică legislativă, derogările de la cadrul normativ general trebuie formulate expres, prin indicarea exactă a articolelor, alineatelor sau procedurilor de la care se derogă. În lipsa unei asemenea precizări, nu poate fi evaluată oportunitatea și întinderea derogării propuse.</w:t>
            </w:r>
          </w:p>
          <w:p w14:paraId="79C95C3D" w14:textId="77777777" w:rsidR="000B32CE" w:rsidRPr="00611D4F" w:rsidRDefault="000B32CE" w:rsidP="000B32CE">
            <w:pPr>
              <w:spacing w:after="0" w:line="240" w:lineRule="auto"/>
              <w:jc w:val="both"/>
              <w:rPr>
                <w:rFonts w:ascii="Times New Roman" w:hAnsi="Times New Roman" w:cs="Times New Roman"/>
                <w:sz w:val="20"/>
                <w:szCs w:val="20"/>
                <w:lang w:eastAsia="ro-RO"/>
              </w:rPr>
            </w:pPr>
            <w:r w:rsidRPr="00572F86">
              <w:rPr>
                <w:rFonts w:ascii="Times New Roman" w:hAnsi="Times New Roman" w:cs="Times New Roman"/>
                <w:sz w:val="20"/>
                <w:szCs w:val="20"/>
                <w:lang w:eastAsia="ro-RO"/>
              </w:rPr>
              <w:t>Prin urmare, se recomandă revizuirea dispozițiilor menționate mai jos prin identificarea expresă a prevederilor din Codul administrativ de la care se derogă și argumentarea necesității instituirii unui regim juridic special în nota de fundamentare. Observația dată este valabilă pentru prevederile art.11 alin.(5), art.12 alin.(3), art.13 alin.(7), art.27 alin.(4) și (6), precum și art.85 alin.(13), care utilizează formula „prin derogare de la Codul administrativ”, fără a identifica în mod expres normele de la care se derogă.</w:t>
            </w:r>
          </w:p>
        </w:tc>
        <w:tc>
          <w:tcPr>
            <w:tcW w:w="12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47CBB" w14:textId="77777777" w:rsidR="000B32CE" w:rsidRPr="00A55A88" w:rsidRDefault="000B32CE" w:rsidP="000B32CE">
            <w:pPr>
              <w:spacing w:after="0" w:line="240" w:lineRule="auto"/>
              <w:jc w:val="both"/>
              <w:rPr>
                <w:rFonts w:ascii="Times New Roman" w:hAnsi="Times New Roman" w:cs="Times New Roman"/>
                <w:b/>
                <w:sz w:val="20"/>
                <w:szCs w:val="20"/>
                <w:lang w:val="ro-RO" w:eastAsia="ro-RO"/>
              </w:rPr>
            </w:pPr>
            <w:r w:rsidRPr="00A55A88">
              <w:rPr>
                <w:rFonts w:ascii="Times New Roman" w:hAnsi="Times New Roman" w:cs="Times New Roman"/>
                <w:b/>
                <w:sz w:val="20"/>
                <w:szCs w:val="20"/>
                <w:lang w:val="ro-RO" w:eastAsia="ro-RO"/>
              </w:rPr>
              <w:t>Se acceptă.</w:t>
            </w:r>
          </w:p>
          <w:p w14:paraId="2491F36B" w14:textId="77777777" w:rsidR="000B32CE" w:rsidRPr="00A55A88" w:rsidRDefault="000B32CE" w:rsidP="000B32CE">
            <w:pPr>
              <w:spacing w:after="0" w:line="240" w:lineRule="auto"/>
              <w:jc w:val="both"/>
              <w:rPr>
                <w:rFonts w:ascii="Times New Roman" w:hAnsi="Times New Roman" w:cs="Times New Roman"/>
                <w:bCs/>
                <w:sz w:val="20"/>
                <w:szCs w:val="20"/>
                <w:lang w:val="ro-RO" w:eastAsia="ro-RO"/>
              </w:rPr>
            </w:pPr>
            <w:r w:rsidRPr="00A55A88">
              <w:rPr>
                <w:rFonts w:ascii="Times New Roman" w:hAnsi="Times New Roman" w:cs="Times New Roman"/>
                <w:bCs/>
                <w:sz w:val="20"/>
                <w:szCs w:val="20"/>
                <w:lang w:val="ro-RO" w:eastAsia="ro-RO"/>
              </w:rPr>
              <w:t>Au fost operate următoarele modificări</w:t>
            </w:r>
            <w:r>
              <w:rPr>
                <w:rFonts w:ascii="Times New Roman" w:hAnsi="Times New Roman" w:cs="Times New Roman"/>
                <w:bCs/>
                <w:sz w:val="20"/>
                <w:szCs w:val="20"/>
                <w:lang w:val="ro-RO" w:eastAsia="ro-RO"/>
              </w:rPr>
              <w:t>:</w:t>
            </w:r>
          </w:p>
          <w:p w14:paraId="0E340F6A" w14:textId="77777777" w:rsidR="000B32CE" w:rsidRDefault="000B32CE" w:rsidP="000B32CE">
            <w:pPr>
              <w:pStyle w:val="Listparagraf"/>
              <w:numPr>
                <w:ilvl w:val="0"/>
                <w:numId w:val="18"/>
              </w:numPr>
              <w:spacing w:after="0" w:line="240" w:lineRule="auto"/>
              <w:ind w:left="376" w:hanging="270"/>
              <w:jc w:val="both"/>
              <w:rPr>
                <w:rFonts w:ascii="Times New Roman" w:hAnsi="Times New Roman" w:cs="Times New Roman"/>
                <w:bCs/>
                <w:sz w:val="20"/>
                <w:szCs w:val="20"/>
                <w:lang w:val="ro-RO" w:eastAsia="ro-RO"/>
              </w:rPr>
            </w:pPr>
            <w:r w:rsidRPr="00A55A88">
              <w:rPr>
                <w:rFonts w:ascii="Times New Roman" w:hAnsi="Times New Roman" w:cs="Times New Roman"/>
                <w:bCs/>
                <w:sz w:val="20"/>
                <w:szCs w:val="20"/>
                <w:lang w:val="ro-RO" w:eastAsia="ro-RO"/>
              </w:rPr>
              <w:t xml:space="preserve">la art. 11 alin.(5) a fost </w:t>
            </w:r>
            <w:r>
              <w:rPr>
                <w:rFonts w:ascii="Times New Roman" w:hAnsi="Times New Roman" w:cs="Times New Roman"/>
                <w:bCs/>
                <w:sz w:val="20"/>
                <w:szCs w:val="20"/>
                <w:lang w:val="ro-RO" w:eastAsia="ro-RO"/>
              </w:rPr>
              <w:t>completată</w:t>
            </w:r>
            <w:r w:rsidRPr="00A55A88">
              <w:rPr>
                <w:rFonts w:ascii="Times New Roman" w:hAnsi="Times New Roman" w:cs="Times New Roman"/>
                <w:bCs/>
                <w:sz w:val="20"/>
                <w:szCs w:val="20"/>
                <w:lang w:val="ro-RO" w:eastAsia="ro-RO"/>
              </w:rPr>
              <w:t xml:space="preserve"> sintagma „Prin derogare de la art.60 alin.(2) lit</w:t>
            </w:r>
            <w:r>
              <w:rPr>
                <w:rFonts w:ascii="Times New Roman" w:hAnsi="Times New Roman" w:cs="Times New Roman"/>
                <w:bCs/>
                <w:sz w:val="20"/>
                <w:szCs w:val="20"/>
                <w:lang w:val="ro-RO" w:eastAsia="ro-RO"/>
              </w:rPr>
              <w:t>.</w:t>
            </w:r>
            <w:r w:rsidRPr="00A55A88">
              <w:rPr>
                <w:rFonts w:ascii="Times New Roman" w:hAnsi="Times New Roman" w:cs="Times New Roman"/>
                <w:bCs/>
                <w:sz w:val="20"/>
                <w:szCs w:val="20"/>
                <w:lang w:val="ro-RO" w:eastAsia="ro-RO"/>
              </w:rPr>
              <w:t>c) din Codul administrativ”;</w:t>
            </w:r>
          </w:p>
          <w:p w14:paraId="7E400A2E" w14:textId="77777777" w:rsidR="000B32CE" w:rsidRDefault="000B32CE" w:rsidP="000B32CE">
            <w:pPr>
              <w:pStyle w:val="Listparagraf"/>
              <w:numPr>
                <w:ilvl w:val="0"/>
                <w:numId w:val="18"/>
              </w:numPr>
              <w:spacing w:after="0" w:line="240" w:lineRule="auto"/>
              <w:ind w:left="376" w:hanging="270"/>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 xml:space="preserve">la art.12 alin.(3) </w:t>
            </w:r>
            <w:r w:rsidRPr="005E5E9F">
              <w:rPr>
                <w:rFonts w:ascii="Times New Roman" w:hAnsi="Times New Roman" w:cs="Times New Roman"/>
                <w:bCs/>
                <w:sz w:val="20"/>
                <w:szCs w:val="20"/>
                <w:lang w:val="ro-RO" w:eastAsia="ro-RO"/>
              </w:rPr>
              <w:t xml:space="preserve">a fost </w:t>
            </w:r>
            <w:r>
              <w:rPr>
                <w:rFonts w:ascii="Times New Roman" w:hAnsi="Times New Roman" w:cs="Times New Roman"/>
                <w:bCs/>
                <w:sz w:val="20"/>
                <w:szCs w:val="20"/>
                <w:lang w:val="ro-RO" w:eastAsia="ro-RO"/>
              </w:rPr>
              <w:t>completată</w:t>
            </w:r>
            <w:r w:rsidRPr="000D0D1E">
              <w:rPr>
                <w:rFonts w:ascii="Times New Roman" w:hAnsi="Times New Roman" w:cs="Times New Roman"/>
                <w:bCs/>
                <w:sz w:val="20"/>
                <w:szCs w:val="20"/>
                <w:lang w:val="ro-RO" w:eastAsia="ro-RO"/>
              </w:rPr>
              <w:t xml:space="preserve"> </w:t>
            </w:r>
            <w:r w:rsidRPr="005E5E9F">
              <w:rPr>
                <w:rFonts w:ascii="Times New Roman" w:hAnsi="Times New Roman" w:cs="Times New Roman"/>
                <w:bCs/>
                <w:sz w:val="20"/>
                <w:szCs w:val="20"/>
                <w:lang w:val="ro-RO" w:eastAsia="ro-RO"/>
              </w:rPr>
              <w:t>sintagma „Prin derogare de la art.60 alin.(2) lit.c) din Codul administrativ”;</w:t>
            </w:r>
          </w:p>
          <w:p w14:paraId="79D37B25" w14:textId="77777777" w:rsidR="000B32CE" w:rsidRDefault="000B32CE" w:rsidP="000B32CE">
            <w:pPr>
              <w:pStyle w:val="Listparagraf"/>
              <w:numPr>
                <w:ilvl w:val="0"/>
                <w:numId w:val="18"/>
              </w:numPr>
              <w:spacing w:after="0" w:line="240" w:lineRule="auto"/>
              <w:ind w:left="376" w:hanging="270"/>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 xml:space="preserve">la art.13 alin.(7) </w:t>
            </w:r>
            <w:r w:rsidRPr="005E5E9F">
              <w:rPr>
                <w:rFonts w:ascii="Times New Roman" w:hAnsi="Times New Roman" w:cs="Times New Roman"/>
                <w:bCs/>
                <w:sz w:val="20"/>
                <w:szCs w:val="20"/>
                <w:lang w:val="ro-RO" w:eastAsia="ro-RO"/>
              </w:rPr>
              <w:t xml:space="preserve">a fost </w:t>
            </w:r>
            <w:r>
              <w:rPr>
                <w:rFonts w:ascii="Times New Roman" w:hAnsi="Times New Roman" w:cs="Times New Roman"/>
                <w:bCs/>
                <w:sz w:val="20"/>
                <w:szCs w:val="20"/>
                <w:lang w:val="ro-RO" w:eastAsia="ro-RO"/>
              </w:rPr>
              <w:t>completată</w:t>
            </w:r>
            <w:r w:rsidRPr="000D0D1E">
              <w:rPr>
                <w:rFonts w:ascii="Times New Roman" w:hAnsi="Times New Roman" w:cs="Times New Roman"/>
                <w:bCs/>
                <w:sz w:val="20"/>
                <w:szCs w:val="20"/>
                <w:lang w:val="ro-RO" w:eastAsia="ro-RO"/>
              </w:rPr>
              <w:t xml:space="preserve"> </w:t>
            </w:r>
            <w:r w:rsidRPr="005E5E9F">
              <w:rPr>
                <w:rFonts w:ascii="Times New Roman" w:hAnsi="Times New Roman" w:cs="Times New Roman"/>
                <w:bCs/>
                <w:sz w:val="20"/>
                <w:szCs w:val="20"/>
                <w:lang w:val="ro-RO" w:eastAsia="ro-RO"/>
              </w:rPr>
              <w:t>sintagma „</w:t>
            </w:r>
            <w:r>
              <w:rPr>
                <w:rFonts w:ascii="Times New Roman" w:hAnsi="Times New Roman" w:cs="Times New Roman"/>
                <w:bCs/>
                <w:sz w:val="20"/>
                <w:szCs w:val="20"/>
                <w:lang w:val="ro-RO" w:eastAsia="ro-RO"/>
              </w:rPr>
              <w:t>p</w:t>
            </w:r>
            <w:r w:rsidRPr="005E5E9F">
              <w:rPr>
                <w:rFonts w:ascii="Times New Roman" w:hAnsi="Times New Roman" w:cs="Times New Roman"/>
                <w:bCs/>
                <w:sz w:val="20"/>
                <w:szCs w:val="20"/>
                <w:lang w:val="ro-RO" w:eastAsia="ro-RO"/>
              </w:rPr>
              <w:t>rin derogare de la art.60 alin.(2) lit.c) din Codul administrativ”;</w:t>
            </w:r>
          </w:p>
          <w:p w14:paraId="41284522" w14:textId="77777777" w:rsidR="000B32CE" w:rsidRDefault="000B32CE" w:rsidP="000B32CE">
            <w:pPr>
              <w:pStyle w:val="Listparagraf"/>
              <w:numPr>
                <w:ilvl w:val="0"/>
                <w:numId w:val="18"/>
              </w:numPr>
              <w:spacing w:after="0" w:line="240" w:lineRule="auto"/>
              <w:ind w:left="376" w:hanging="270"/>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 xml:space="preserve">la art.27 alin.(4) </w:t>
            </w:r>
            <w:r w:rsidRPr="005E5E9F">
              <w:rPr>
                <w:rFonts w:ascii="Times New Roman" w:hAnsi="Times New Roman" w:cs="Times New Roman"/>
                <w:bCs/>
                <w:sz w:val="20"/>
                <w:szCs w:val="20"/>
                <w:lang w:val="ro-RO" w:eastAsia="ro-RO"/>
              </w:rPr>
              <w:t xml:space="preserve">a fost </w:t>
            </w:r>
            <w:r>
              <w:rPr>
                <w:rFonts w:ascii="Times New Roman" w:hAnsi="Times New Roman" w:cs="Times New Roman"/>
                <w:bCs/>
                <w:sz w:val="20"/>
                <w:szCs w:val="20"/>
                <w:lang w:val="ro-RO" w:eastAsia="ro-RO"/>
              </w:rPr>
              <w:t>completată</w:t>
            </w:r>
            <w:r w:rsidRPr="000D0D1E">
              <w:rPr>
                <w:rFonts w:ascii="Times New Roman" w:hAnsi="Times New Roman" w:cs="Times New Roman"/>
                <w:bCs/>
                <w:sz w:val="20"/>
                <w:szCs w:val="20"/>
                <w:lang w:val="ro-RO" w:eastAsia="ro-RO"/>
              </w:rPr>
              <w:t xml:space="preserve"> </w:t>
            </w:r>
            <w:r w:rsidRPr="005E5E9F">
              <w:rPr>
                <w:rFonts w:ascii="Times New Roman" w:hAnsi="Times New Roman" w:cs="Times New Roman"/>
                <w:bCs/>
                <w:sz w:val="20"/>
                <w:szCs w:val="20"/>
                <w:lang w:val="ro-RO" w:eastAsia="ro-RO"/>
              </w:rPr>
              <w:t>sintagma „Prin derogare de la art.60 alin.</w:t>
            </w:r>
            <w:r>
              <w:rPr>
                <w:rFonts w:ascii="Times New Roman" w:hAnsi="Times New Roman" w:cs="Times New Roman"/>
                <w:bCs/>
                <w:sz w:val="20"/>
                <w:szCs w:val="20"/>
                <w:lang w:val="ro-RO" w:eastAsia="ro-RO"/>
              </w:rPr>
              <w:t>(1) și (2) lit.c)</w:t>
            </w:r>
            <w:r w:rsidRPr="005E5E9F">
              <w:rPr>
                <w:rFonts w:ascii="Times New Roman" w:hAnsi="Times New Roman" w:cs="Times New Roman"/>
                <w:bCs/>
                <w:sz w:val="20"/>
                <w:szCs w:val="20"/>
                <w:lang w:val="ro-RO" w:eastAsia="ro-RO"/>
              </w:rPr>
              <w:t xml:space="preserve"> din Codul administrativ”;</w:t>
            </w:r>
          </w:p>
          <w:p w14:paraId="40F10B95" w14:textId="77777777" w:rsidR="000B32CE" w:rsidRDefault="000B32CE" w:rsidP="000B32CE">
            <w:pPr>
              <w:pStyle w:val="Listparagraf"/>
              <w:numPr>
                <w:ilvl w:val="0"/>
                <w:numId w:val="18"/>
              </w:numPr>
              <w:spacing w:after="0" w:line="240" w:lineRule="auto"/>
              <w:ind w:left="376" w:hanging="270"/>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la art.27 alin.(6) a fost completată</w:t>
            </w:r>
            <w:r w:rsidRPr="000D0D1E">
              <w:rPr>
                <w:rFonts w:ascii="Times New Roman" w:hAnsi="Times New Roman" w:cs="Times New Roman"/>
                <w:bCs/>
                <w:sz w:val="20"/>
                <w:szCs w:val="20"/>
                <w:lang w:val="ro-RO" w:eastAsia="ro-RO"/>
              </w:rPr>
              <w:t xml:space="preserve"> </w:t>
            </w:r>
            <w:r>
              <w:rPr>
                <w:rFonts w:ascii="Times New Roman" w:hAnsi="Times New Roman" w:cs="Times New Roman"/>
                <w:bCs/>
                <w:sz w:val="20"/>
                <w:szCs w:val="20"/>
                <w:lang w:val="ro-RO" w:eastAsia="ro-RO"/>
              </w:rPr>
              <w:t xml:space="preserve">sintagma </w:t>
            </w:r>
            <w:r w:rsidRPr="005E5E9F">
              <w:rPr>
                <w:rFonts w:ascii="Times New Roman" w:hAnsi="Times New Roman" w:cs="Times New Roman"/>
                <w:bCs/>
                <w:sz w:val="20"/>
                <w:szCs w:val="20"/>
                <w:lang w:val="ro-RO" w:eastAsia="ro-RO"/>
              </w:rPr>
              <w:t>„Prin derogare de la art.60 alin.(</w:t>
            </w:r>
            <w:r>
              <w:rPr>
                <w:rFonts w:ascii="Times New Roman" w:hAnsi="Times New Roman" w:cs="Times New Roman"/>
                <w:bCs/>
                <w:sz w:val="20"/>
                <w:szCs w:val="20"/>
                <w:lang w:val="ro-RO" w:eastAsia="ro-RO"/>
              </w:rPr>
              <w:t>4</w:t>
            </w:r>
            <w:r w:rsidRPr="005E5E9F">
              <w:rPr>
                <w:rFonts w:ascii="Times New Roman" w:hAnsi="Times New Roman" w:cs="Times New Roman"/>
                <w:bCs/>
                <w:sz w:val="20"/>
                <w:szCs w:val="20"/>
                <w:lang w:val="ro-RO" w:eastAsia="ro-RO"/>
              </w:rPr>
              <w:t>) din Codul administrativ”;</w:t>
            </w:r>
          </w:p>
          <w:p w14:paraId="7A5631FC" w14:textId="77777777" w:rsidR="000B32CE" w:rsidRDefault="000B32CE" w:rsidP="000B32CE">
            <w:pPr>
              <w:pStyle w:val="Listparagraf"/>
              <w:numPr>
                <w:ilvl w:val="0"/>
                <w:numId w:val="18"/>
              </w:numPr>
              <w:spacing w:after="0" w:line="240" w:lineRule="auto"/>
              <w:ind w:left="376" w:hanging="270"/>
              <w:jc w:val="both"/>
              <w:rPr>
                <w:rFonts w:ascii="Times New Roman" w:hAnsi="Times New Roman" w:cs="Times New Roman"/>
                <w:bCs/>
                <w:sz w:val="20"/>
                <w:szCs w:val="20"/>
                <w:lang w:val="ro-RO" w:eastAsia="ro-RO"/>
              </w:rPr>
            </w:pPr>
            <w:r>
              <w:rPr>
                <w:rFonts w:ascii="Times New Roman" w:hAnsi="Times New Roman" w:cs="Times New Roman"/>
                <w:bCs/>
                <w:sz w:val="20"/>
                <w:szCs w:val="20"/>
                <w:lang w:val="ro-RO" w:eastAsia="ro-RO"/>
              </w:rPr>
              <w:t>la art.85 alin.(13) a fost completată</w:t>
            </w:r>
            <w:r w:rsidRPr="000D0D1E">
              <w:rPr>
                <w:rFonts w:ascii="Times New Roman" w:hAnsi="Times New Roman" w:cs="Times New Roman"/>
                <w:bCs/>
                <w:sz w:val="20"/>
                <w:szCs w:val="20"/>
                <w:lang w:val="ro-RO" w:eastAsia="ro-RO"/>
              </w:rPr>
              <w:t xml:space="preserve"> </w:t>
            </w:r>
            <w:r>
              <w:rPr>
                <w:rFonts w:ascii="Times New Roman" w:hAnsi="Times New Roman" w:cs="Times New Roman"/>
                <w:bCs/>
                <w:sz w:val="20"/>
                <w:szCs w:val="20"/>
                <w:lang w:val="ro-RO" w:eastAsia="ro-RO"/>
              </w:rPr>
              <w:t>sintagma „Prin derogare de la art.60 alin.(4) din Codul administrativ”.</w:t>
            </w:r>
          </w:p>
          <w:p w14:paraId="57C88F1A" w14:textId="77777777" w:rsidR="000B32CE" w:rsidRPr="00623E2C" w:rsidRDefault="000B32CE" w:rsidP="000B32CE">
            <w:pPr>
              <w:spacing w:after="0" w:line="240" w:lineRule="auto"/>
              <w:jc w:val="both"/>
              <w:rPr>
                <w:rFonts w:ascii="Times New Roman" w:hAnsi="Times New Roman" w:cs="Times New Roman"/>
                <w:b/>
                <w:sz w:val="20"/>
                <w:szCs w:val="20"/>
                <w:lang w:val="ro-RO" w:eastAsia="ro-RO"/>
              </w:rPr>
            </w:pPr>
            <w:r>
              <w:rPr>
                <w:rFonts w:ascii="Times New Roman" w:hAnsi="Times New Roman" w:cs="Times New Roman"/>
                <w:bCs/>
                <w:sz w:val="20"/>
                <w:szCs w:val="20"/>
                <w:lang w:val="ro-RO" w:eastAsia="ro-RO"/>
              </w:rPr>
              <w:t xml:space="preserve">Notăm că </w:t>
            </w:r>
            <w:r w:rsidRPr="00683216">
              <w:rPr>
                <w:rFonts w:ascii="Times New Roman" w:hAnsi="Times New Roman" w:cs="Times New Roman"/>
                <w:bCs/>
                <w:sz w:val="20"/>
                <w:szCs w:val="20"/>
                <w:lang w:val="ro-RO" w:eastAsia="ro-RO"/>
              </w:rPr>
              <w:t>necesitatea instituirii termenelor speciale, derogatorii de la termenul general prevăzut de</w:t>
            </w:r>
            <w:r>
              <w:rPr>
                <w:rFonts w:ascii="Times New Roman" w:hAnsi="Times New Roman" w:cs="Times New Roman"/>
                <w:bCs/>
                <w:sz w:val="20"/>
                <w:szCs w:val="20"/>
                <w:lang w:val="ro-RO" w:eastAsia="ro-RO"/>
              </w:rPr>
              <w:t xml:space="preserve"> art.60 din</w:t>
            </w:r>
            <w:r w:rsidRPr="00683216">
              <w:rPr>
                <w:rFonts w:ascii="Times New Roman" w:hAnsi="Times New Roman" w:cs="Times New Roman"/>
                <w:bCs/>
                <w:sz w:val="20"/>
                <w:szCs w:val="20"/>
                <w:lang w:val="ro-RO" w:eastAsia="ro-RO"/>
              </w:rPr>
              <w:t xml:space="preserve"> Codul administrativ</w:t>
            </w:r>
            <w:r>
              <w:rPr>
                <w:rFonts w:ascii="Times New Roman" w:hAnsi="Times New Roman" w:cs="Times New Roman"/>
                <w:bCs/>
                <w:sz w:val="20"/>
                <w:szCs w:val="20"/>
                <w:lang w:val="ro-RO" w:eastAsia="ro-RO"/>
              </w:rPr>
              <w:t xml:space="preserve"> (atât din perspectiva termenului de finalizare a procedurii administrative, cât și din perspectiva momentului în care acesta începe a curge)</w:t>
            </w:r>
            <w:r w:rsidRPr="00683216">
              <w:rPr>
                <w:rFonts w:ascii="Times New Roman" w:hAnsi="Times New Roman" w:cs="Times New Roman"/>
                <w:bCs/>
                <w:sz w:val="20"/>
                <w:szCs w:val="20"/>
                <w:lang w:val="ro-RO" w:eastAsia="ro-RO"/>
              </w:rPr>
              <w:t xml:space="preserve">, este argumentată în nota de fundamentare, fiind determinată de specificul procedurilor de autorizare și de evaluare prudențială reglementate de Directiva 2014/65/UE, care </w:t>
            </w:r>
            <w:r>
              <w:rPr>
                <w:rFonts w:ascii="Times New Roman" w:hAnsi="Times New Roman" w:cs="Times New Roman"/>
                <w:bCs/>
                <w:sz w:val="20"/>
                <w:szCs w:val="20"/>
                <w:lang w:val="ro-RO" w:eastAsia="ro-RO"/>
              </w:rPr>
              <w:t>prevede</w:t>
            </w:r>
            <w:r w:rsidRPr="00683216">
              <w:rPr>
                <w:rFonts w:ascii="Times New Roman" w:hAnsi="Times New Roman" w:cs="Times New Roman"/>
                <w:bCs/>
                <w:sz w:val="20"/>
                <w:szCs w:val="20"/>
                <w:lang w:val="ro-RO" w:eastAsia="ro-RO"/>
              </w:rPr>
              <w:t xml:space="preserve"> termene proprii.</w:t>
            </w:r>
          </w:p>
        </w:tc>
      </w:tr>
    </w:tbl>
    <w:p w14:paraId="1A61B9E7" w14:textId="77777777" w:rsidR="00E8146F" w:rsidRPr="000643B7" w:rsidRDefault="00E8146F" w:rsidP="00360310">
      <w:pPr>
        <w:spacing w:after="0" w:line="240" w:lineRule="auto"/>
        <w:ind w:firstLine="567"/>
        <w:jc w:val="both"/>
        <w:rPr>
          <w:rFonts w:ascii="Times New Roman" w:eastAsia="Times New Roman" w:hAnsi="Times New Roman" w:cs="Times New Roman"/>
          <w:sz w:val="24"/>
          <w:szCs w:val="24"/>
          <w:lang w:eastAsia="ro-RO"/>
        </w:rPr>
      </w:pPr>
    </w:p>
    <w:sectPr w:rsidR="00E8146F" w:rsidRPr="000643B7" w:rsidSect="00DC2005">
      <w:footerReference w:type="default" r:id="rId10"/>
      <w:pgSz w:w="16838" w:h="11906" w:orient="landscape" w:code="9"/>
      <w:pgMar w:top="1134" w:right="567" w:bottom="1134" w:left="567" w:header="709"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14E6" w14:textId="77777777" w:rsidR="00683EFE" w:rsidRDefault="00683EFE" w:rsidP="00063A15">
      <w:pPr>
        <w:spacing w:after="0" w:line="240" w:lineRule="auto"/>
      </w:pPr>
      <w:r>
        <w:separator/>
      </w:r>
    </w:p>
  </w:endnote>
  <w:endnote w:type="continuationSeparator" w:id="0">
    <w:p w14:paraId="108EF637" w14:textId="77777777" w:rsidR="00683EFE" w:rsidRDefault="00683EFE" w:rsidP="0006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8573022"/>
      <w:docPartObj>
        <w:docPartGallery w:val="Page Numbers (Bottom of Page)"/>
        <w:docPartUnique/>
      </w:docPartObj>
    </w:sdtPr>
    <w:sdtEndPr>
      <w:rPr>
        <w:noProof/>
      </w:rPr>
    </w:sdtEndPr>
    <w:sdtContent>
      <w:p w14:paraId="4850F1E1" w14:textId="75DE9A52" w:rsidR="009E31EF" w:rsidRPr="00DC2005" w:rsidRDefault="009E31EF" w:rsidP="001E2CDC">
        <w:pPr>
          <w:pStyle w:val="Subsol"/>
          <w:jc w:val="center"/>
          <w:rPr>
            <w:rFonts w:ascii="Times New Roman" w:hAnsi="Times New Roman" w:cs="Times New Roman"/>
            <w:sz w:val="20"/>
            <w:szCs w:val="20"/>
          </w:rPr>
        </w:pPr>
        <w:r w:rsidRPr="00DC2005">
          <w:rPr>
            <w:rFonts w:ascii="Times New Roman" w:hAnsi="Times New Roman" w:cs="Times New Roman"/>
            <w:sz w:val="20"/>
            <w:szCs w:val="20"/>
          </w:rPr>
          <w:fldChar w:fldCharType="begin"/>
        </w:r>
        <w:r w:rsidRPr="00DC2005">
          <w:rPr>
            <w:rFonts w:ascii="Times New Roman" w:hAnsi="Times New Roman" w:cs="Times New Roman"/>
            <w:sz w:val="20"/>
            <w:szCs w:val="20"/>
          </w:rPr>
          <w:instrText xml:space="preserve"> PAGE   \* MERGEFORMAT </w:instrText>
        </w:r>
        <w:r w:rsidRPr="00DC2005">
          <w:rPr>
            <w:rFonts w:ascii="Times New Roman" w:hAnsi="Times New Roman" w:cs="Times New Roman"/>
            <w:sz w:val="20"/>
            <w:szCs w:val="20"/>
          </w:rPr>
          <w:fldChar w:fldCharType="separate"/>
        </w:r>
        <w:r w:rsidR="00BE1068">
          <w:rPr>
            <w:rFonts w:ascii="Times New Roman" w:hAnsi="Times New Roman" w:cs="Times New Roman"/>
            <w:noProof/>
            <w:sz w:val="20"/>
            <w:szCs w:val="20"/>
          </w:rPr>
          <w:t>16</w:t>
        </w:r>
        <w:r w:rsidRPr="00DC200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2052" w14:textId="77777777" w:rsidR="00683EFE" w:rsidRDefault="00683EFE" w:rsidP="00063A15">
      <w:pPr>
        <w:spacing w:after="0" w:line="240" w:lineRule="auto"/>
      </w:pPr>
      <w:r>
        <w:separator/>
      </w:r>
    </w:p>
  </w:footnote>
  <w:footnote w:type="continuationSeparator" w:id="0">
    <w:p w14:paraId="42E81E1C" w14:textId="77777777" w:rsidR="00683EFE" w:rsidRDefault="00683EFE" w:rsidP="00063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13F"/>
    <w:multiLevelType w:val="hybridMultilevel"/>
    <w:tmpl w:val="A91891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1A3B03"/>
    <w:multiLevelType w:val="hybridMultilevel"/>
    <w:tmpl w:val="D69EF494"/>
    <w:lvl w:ilvl="0" w:tplc="8A4C299E">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1092B99"/>
    <w:multiLevelType w:val="hybridMultilevel"/>
    <w:tmpl w:val="B92E99C4"/>
    <w:lvl w:ilvl="0" w:tplc="AB36C950">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3" w15:restartNumberingAfterBreak="0">
    <w:nsid w:val="16B306A2"/>
    <w:multiLevelType w:val="hybridMultilevel"/>
    <w:tmpl w:val="41D6FAC8"/>
    <w:lvl w:ilvl="0" w:tplc="8AAEAAF6">
      <w:start w:val="1"/>
      <w:numFmt w:val="decimal"/>
      <w:lvlText w:val="(%1)"/>
      <w:lvlJc w:val="left"/>
      <w:pPr>
        <w:ind w:left="715" w:hanging="720"/>
      </w:pPr>
      <w:rPr>
        <w:rFonts w:hint="default"/>
      </w:rPr>
    </w:lvl>
    <w:lvl w:ilvl="1" w:tplc="04180019" w:tentative="1">
      <w:start w:val="1"/>
      <w:numFmt w:val="lowerLetter"/>
      <w:lvlText w:val="%2."/>
      <w:lvlJc w:val="left"/>
      <w:pPr>
        <w:ind w:left="1075" w:hanging="360"/>
      </w:pPr>
    </w:lvl>
    <w:lvl w:ilvl="2" w:tplc="0418001B" w:tentative="1">
      <w:start w:val="1"/>
      <w:numFmt w:val="lowerRoman"/>
      <w:lvlText w:val="%3."/>
      <w:lvlJc w:val="right"/>
      <w:pPr>
        <w:ind w:left="1795" w:hanging="180"/>
      </w:pPr>
    </w:lvl>
    <w:lvl w:ilvl="3" w:tplc="0418000F" w:tentative="1">
      <w:start w:val="1"/>
      <w:numFmt w:val="decimal"/>
      <w:lvlText w:val="%4."/>
      <w:lvlJc w:val="left"/>
      <w:pPr>
        <w:ind w:left="2515" w:hanging="360"/>
      </w:pPr>
    </w:lvl>
    <w:lvl w:ilvl="4" w:tplc="04180019" w:tentative="1">
      <w:start w:val="1"/>
      <w:numFmt w:val="lowerLetter"/>
      <w:lvlText w:val="%5."/>
      <w:lvlJc w:val="left"/>
      <w:pPr>
        <w:ind w:left="3235" w:hanging="360"/>
      </w:pPr>
    </w:lvl>
    <w:lvl w:ilvl="5" w:tplc="0418001B" w:tentative="1">
      <w:start w:val="1"/>
      <w:numFmt w:val="lowerRoman"/>
      <w:lvlText w:val="%6."/>
      <w:lvlJc w:val="right"/>
      <w:pPr>
        <w:ind w:left="3955" w:hanging="180"/>
      </w:pPr>
    </w:lvl>
    <w:lvl w:ilvl="6" w:tplc="0418000F" w:tentative="1">
      <w:start w:val="1"/>
      <w:numFmt w:val="decimal"/>
      <w:lvlText w:val="%7."/>
      <w:lvlJc w:val="left"/>
      <w:pPr>
        <w:ind w:left="4675" w:hanging="360"/>
      </w:pPr>
    </w:lvl>
    <w:lvl w:ilvl="7" w:tplc="04180019" w:tentative="1">
      <w:start w:val="1"/>
      <w:numFmt w:val="lowerLetter"/>
      <w:lvlText w:val="%8."/>
      <w:lvlJc w:val="left"/>
      <w:pPr>
        <w:ind w:left="5395" w:hanging="360"/>
      </w:pPr>
    </w:lvl>
    <w:lvl w:ilvl="8" w:tplc="0418001B" w:tentative="1">
      <w:start w:val="1"/>
      <w:numFmt w:val="lowerRoman"/>
      <w:lvlText w:val="%9."/>
      <w:lvlJc w:val="right"/>
      <w:pPr>
        <w:ind w:left="6115" w:hanging="180"/>
      </w:pPr>
    </w:lvl>
  </w:abstractNum>
  <w:abstractNum w:abstractNumId="4" w15:restartNumberingAfterBreak="0">
    <w:nsid w:val="1FB760C1"/>
    <w:multiLevelType w:val="hybridMultilevel"/>
    <w:tmpl w:val="0B9A77CC"/>
    <w:lvl w:ilvl="0" w:tplc="507C0C8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B124D3"/>
    <w:multiLevelType w:val="hybridMultilevel"/>
    <w:tmpl w:val="5D7A7FB0"/>
    <w:lvl w:ilvl="0" w:tplc="2E805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2AB"/>
    <w:multiLevelType w:val="hybridMultilevel"/>
    <w:tmpl w:val="91E0BBB4"/>
    <w:lvl w:ilvl="0" w:tplc="5E568E26">
      <w:start w:val="1"/>
      <w:numFmt w:val="lowerLetter"/>
      <w:lvlText w:val="%1)"/>
      <w:lvlJc w:val="left"/>
      <w:pPr>
        <w:ind w:left="29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5D8806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D2691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149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8828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1245D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CC051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9EC2A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8212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B9346F"/>
    <w:multiLevelType w:val="hybridMultilevel"/>
    <w:tmpl w:val="39CA6A42"/>
    <w:lvl w:ilvl="0" w:tplc="F9B2C460">
      <w:start w:val="1"/>
      <w:numFmt w:val="lowerLetter"/>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8" w15:restartNumberingAfterBreak="0">
    <w:nsid w:val="398557F1"/>
    <w:multiLevelType w:val="hybridMultilevel"/>
    <w:tmpl w:val="CB6EEA30"/>
    <w:lvl w:ilvl="0" w:tplc="D9FAF28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C139CC"/>
    <w:multiLevelType w:val="hybridMultilevel"/>
    <w:tmpl w:val="6A641B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41C3147"/>
    <w:multiLevelType w:val="hybridMultilevel"/>
    <w:tmpl w:val="D5305326"/>
    <w:lvl w:ilvl="0" w:tplc="DF2E98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F27386">
      <w:start w:val="1"/>
      <w:numFmt w:val="lowerLetter"/>
      <w:lvlText w:val="%2)"/>
      <w:lvlJc w:val="left"/>
      <w:pPr>
        <w:ind w:left="73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B1A336E">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6EB1DE">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252A2">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4C77E8">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EC460">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A42F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00AAC2">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2920DA"/>
    <w:multiLevelType w:val="hybridMultilevel"/>
    <w:tmpl w:val="66A2EEDE"/>
    <w:lvl w:ilvl="0" w:tplc="3BE2ACE6">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DC816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E94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44D0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88F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44A75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40C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9AE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CAE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76109F6"/>
    <w:multiLevelType w:val="hybridMultilevel"/>
    <w:tmpl w:val="2FB2472A"/>
    <w:lvl w:ilvl="0" w:tplc="77208046">
      <w:start w:val="1"/>
      <w:numFmt w:val="lowerLetter"/>
      <w:lvlText w:val="%1)"/>
      <w:lvlJc w:val="left"/>
      <w:pPr>
        <w:ind w:left="345" w:hanging="360"/>
      </w:pPr>
      <w:rPr>
        <w:rFonts w:ascii="Times New Roman" w:eastAsiaTheme="minorHAnsi" w:hAnsi="Times New Roman" w:cs="Times New Roman"/>
        <w:b w:val="0"/>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3" w15:restartNumberingAfterBreak="0">
    <w:nsid w:val="5766210F"/>
    <w:multiLevelType w:val="hybridMultilevel"/>
    <w:tmpl w:val="4A5037E0"/>
    <w:lvl w:ilvl="0" w:tplc="07CEC2EC">
      <w:start w:val="1"/>
      <w:numFmt w:val="lowerRoman"/>
      <w:lvlText w:val="(%1)"/>
      <w:lvlJc w:val="left"/>
      <w:pPr>
        <w:ind w:left="38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1C8D67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E048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76C46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6F8C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14FA2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88D68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224C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A69F8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8A1F54"/>
    <w:multiLevelType w:val="hybridMultilevel"/>
    <w:tmpl w:val="11CAB0B0"/>
    <w:lvl w:ilvl="0" w:tplc="C2A6E332">
      <w:start w:val="2"/>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B0D3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2E94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14B70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98F1B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6AEA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4A78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07F2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A4993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930DBC"/>
    <w:multiLevelType w:val="hybridMultilevel"/>
    <w:tmpl w:val="1FE62F7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6DAB199A"/>
    <w:multiLevelType w:val="hybridMultilevel"/>
    <w:tmpl w:val="21B45F30"/>
    <w:lvl w:ilvl="0" w:tplc="14264DE8">
      <w:start w:val="2"/>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F6024A4">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0C1DB4">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2ED6E4">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20480">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DA5594">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F6BA42">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A4AC2">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E21966">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F16175"/>
    <w:multiLevelType w:val="hybridMultilevel"/>
    <w:tmpl w:val="66A2EEDE"/>
    <w:lvl w:ilvl="0" w:tplc="3BE2ACE6">
      <w:start w:val="1"/>
      <w:numFmt w:val="lowerLetter"/>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DC816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E94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44D0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88F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44A75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40C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9AE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CAE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7602C2"/>
    <w:multiLevelType w:val="hybridMultilevel"/>
    <w:tmpl w:val="39CA6A42"/>
    <w:lvl w:ilvl="0" w:tplc="F9B2C460">
      <w:start w:val="1"/>
      <w:numFmt w:val="lowerLetter"/>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num w:numId="1" w16cid:durableId="2140683809">
    <w:abstractNumId w:val="12"/>
  </w:num>
  <w:num w:numId="2" w16cid:durableId="1853254334">
    <w:abstractNumId w:val="17"/>
  </w:num>
  <w:num w:numId="3" w16cid:durableId="1247765679">
    <w:abstractNumId w:val="14"/>
  </w:num>
  <w:num w:numId="4" w16cid:durableId="1793162608">
    <w:abstractNumId w:val="18"/>
  </w:num>
  <w:num w:numId="5" w16cid:durableId="1457678766">
    <w:abstractNumId w:val="10"/>
  </w:num>
  <w:num w:numId="6" w16cid:durableId="333607997">
    <w:abstractNumId w:val="16"/>
  </w:num>
  <w:num w:numId="7" w16cid:durableId="1061250857">
    <w:abstractNumId w:val="6"/>
  </w:num>
  <w:num w:numId="8" w16cid:durableId="1167280677">
    <w:abstractNumId w:val="8"/>
  </w:num>
  <w:num w:numId="9" w16cid:durableId="907226552">
    <w:abstractNumId w:val="13"/>
  </w:num>
  <w:num w:numId="10" w16cid:durableId="649021033">
    <w:abstractNumId w:val="4"/>
  </w:num>
  <w:num w:numId="11" w16cid:durableId="165946134">
    <w:abstractNumId w:val="11"/>
  </w:num>
  <w:num w:numId="12" w16cid:durableId="285045167">
    <w:abstractNumId w:val="0"/>
  </w:num>
  <w:num w:numId="13" w16cid:durableId="387190008">
    <w:abstractNumId w:val="2"/>
  </w:num>
  <w:num w:numId="14" w16cid:durableId="469827736">
    <w:abstractNumId w:val="3"/>
  </w:num>
  <w:num w:numId="15" w16cid:durableId="866335378">
    <w:abstractNumId w:val="9"/>
  </w:num>
  <w:num w:numId="16" w16cid:durableId="9065400">
    <w:abstractNumId w:val="7"/>
  </w:num>
  <w:num w:numId="17" w16cid:durableId="259726566">
    <w:abstractNumId w:val="5"/>
  </w:num>
  <w:num w:numId="18" w16cid:durableId="1578787622">
    <w:abstractNumId w:val="1"/>
  </w:num>
  <w:num w:numId="19" w16cid:durableId="3003795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10"/>
    <w:rsid w:val="00000367"/>
    <w:rsid w:val="00000A6B"/>
    <w:rsid w:val="00001E9C"/>
    <w:rsid w:val="000045FC"/>
    <w:rsid w:val="00007794"/>
    <w:rsid w:val="00007F38"/>
    <w:rsid w:val="00010252"/>
    <w:rsid w:val="00012A88"/>
    <w:rsid w:val="000167FB"/>
    <w:rsid w:val="00016EB8"/>
    <w:rsid w:val="000178A3"/>
    <w:rsid w:val="000231B9"/>
    <w:rsid w:val="0002346C"/>
    <w:rsid w:val="0002409A"/>
    <w:rsid w:val="00024267"/>
    <w:rsid w:val="00024327"/>
    <w:rsid w:val="0002768A"/>
    <w:rsid w:val="0003123E"/>
    <w:rsid w:val="00032300"/>
    <w:rsid w:val="00036329"/>
    <w:rsid w:val="000401A6"/>
    <w:rsid w:val="00040660"/>
    <w:rsid w:val="00043877"/>
    <w:rsid w:val="0004706F"/>
    <w:rsid w:val="00050E4C"/>
    <w:rsid w:val="00053F29"/>
    <w:rsid w:val="00056A45"/>
    <w:rsid w:val="00063220"/>
    <w:rsid w:val="00063A15"/>
    <w:rsid w:val="000643B7"/>
    <w:rsid w:val="00064A34"/>
    <w:rsid w:val="00067621"/>
    <w:rsid w:val="00067785"/>
    <w:rsid w:val="00071C66"/>
    <w:rsid w:val="00071F44"/>
    <w:rsid w:val="00073602"/>
    <w:rsid w:val="00074208"/>
    <w:rsid w:val="00074D0E"/>
    <w:rsid w:val="00085BDE"/>
    <w:rsid w:val="000925E9"/>
    <w:rsid w:val="00093B40"/>
    <w:rsid w:val="00095E93"/>
    <w:rsid w:val="000A17B0"/>
    <w:rsid w:val="000A6E85"/>
    <w:rsid w:val="000B07F2"/>
    <w:rsid w:val="000B2489"/>
    <w:rsid w:val="000B32CE"/>
    <w:rsid w:val="000B51F2"/>
    <w:rsid w:val="000B594A"/>
    <w:rsid w:val="000B5CE1"/>
    <w:rsid w:val="000B7D49"/>
    <w:rsid w:val="000C0D5B"/>
    <w:rsid w:val="000C458A"/>
    <w:rsid w:val="000D0ADE"/>
    <w:rsid w:val="000D2C5F"/>
    <w:rsid w:val="000D53DF"/>
    <w:rsid w:val="000E1DC9"/>
    <w:rsid w:val="000E2F9D"/>
    <w:rsid w:val="000E3254"/>
    <w:rsid w:val="000E49D9"/>
    <w:rsid w:val="000E66AE"/>
    <w:rsid w:val="000F0467"/>
    <w:rsid w:val="000F356D"/>
    <w:rsid w:val="000F3D89"/>
    <w:rsid w:val="000F4DFF"/>
    <w:rsid w:val="000F66D8"/>
    <w:rsid w:val="000F67F1"/>
    <w:rsid w:val="00100BCC"/>
    <w:rsid w:val="0010112E"/>
    <w:rsid w:val="00104A61"/>
    <w:rsid w:val="00104D47"/>
    <w:rsid w:val="00107D6D"/>
    <w:rsid w:val="00111FDC"/>
    <w:rsid w:val="001156F8"/>
    <w:rsid w:val="001163D1"/>
    <w:rsid w:val="0011712D"/>
    <w:rsid w:val="001175B5"/>
    <w:rsid w:val="00117B86"/>
    <w:rsid w:val="001233E3"/>
    <w:rsid w:val="0012469A"/>
    <w:rsid w:val="00124CB9"/>
    <w:rsid w:val="00125EA9"/>
    <w:rsid w:val="00126AD6"/>
    <w:rsid w:val="00126D88"/>
    <w:rsid w:val="00127C2D"/>
    <w:rsid w:val="00127D4A"/>
    <w:rsid w:val="001343D7"/>
    <w:rsid w:val="00136500"/>
    <w:rsid w:val="00136DF9"/>
    <w:rsid w:val="00137D5B"/>
    <w:rsid w:val="00140272"/>
    <w:rsid w:val="00140C3B"/>
    <w:rsid w:val="0014181B"/>
    <w:rsid w:val="00144BCB"/>
    <w:rsid w:val="001540E1"/>
    <w:rsid w:val="001571DE"/>
    <w:rsid w:val="00160E14"/>
    <w:rsid w:val="0016123B"/>
    <w:rsid w:val="001616FF"/>
    <w:rsid w:val="00166A6F"/>
    <w:rsid w:val="00166E7F"/>
    <w:rsid w:val="00170DC2"/>
    <w:rsid w:val="0017347C"/>
    <w:rsid w:val="00173AE8"/>
    <w:rsid w:val="00174652"/>
    <w:rsid w:val="00176D13"/>
    <w:rsid w:val="001829F5"/>
    <w:rsid w:val="00183823"/>
    <w:rsid w:val="0018624E"/>
    <w:rsid w:val="00191A01"/>
    <w:rsid w:val="001939C6"/>
    <w:rsid w:val="00196488"/>
    <w:rsid w:val="001A0EEE"/>
    <w:rsid w:val="001A17EB"/>
    <w:rsid w:val="001A25C6"/>
    <w:rsid w:val="001A5C68"/>
    <w:rsid w:val="001A60DA"/>
    <w:rsid w:val="001B0DEC"/>
    <w:rsid w:val="001B13FF"/>
    <w:rsid w:val="001B2AF9"/>
    <w:rsid w:val="001B36F5"/>
    <w:rsid w:val="001B51D8"/>
    <w:rsid w:val="001C13E6"/>
    <w:rsid w:val="001C43E3"/>
    <w:rsid w:val="001C58AD"/>
    <w:rsid w:val="001C5CB6"/>
    <w:rsid w:val="001C639A"/>
    <w:rsid w:val="001D05B8"/>
    <w:rsid w:val="001D1583"/>
    <w:rsid w:val="001D32D1"/>
    <w:rsid w:val="001D38F6"/>
    <w:rsid w:val="001E14C9"/>
    <w:rsid w:val="001E2CDC"/>
    <w:rsid w:val="001E2F44"/>
    <w:rsid w:val="001E3887"/>
    <w:rsid w:val="001E5044"/>
    <w:rsid w:val="001E5B1A"/>
    <w:rsid w:val="001F0E12"/>
    <w:rsid w:val="001F1B2D"/>
    <w:rsid w:val="001F3475"/>
    <w:rsid w:val="001F65A0"/>
    <w:rsid w:val="001F7065"/>
    <w:rsid w:val="002012CE"/>
    <w:rsid w:val="00201D75"/>
    <w:rsid w:val="00201F33"/>
    <w:rsid w:val="00203C44"/>
    <w:rsid w:val="00206752"/>
    <w:rsid w:val="00212CAF"/>
    <w:rsid w:val="002207F7"/>
    <w:rsid w:val="0022295F"/>
    <w:rsid w:val="00223F43"/>
    <w:rsid w:val="00225530"/>
    <w:rsid w:val="00230F1D"/>
    <w:rsid w:val="00231431"/>
    <w:rsid w:val="00233375"/>
    <w:rsid w:val="0023340F"/>
    <w:rsid w:val="002348F0"/>
    <w:rsid w:val="00235C8F"/>
    <w:rsid w:val="00235CEC"/>
    <w:rsid w:val="00237268"/>
    <w:rsid w:val="00240CB0"/>
    <w:rsid w:val="00243804"/>
    <w:rsid w:val="00246A9C"/>
    <w:rsid w:val="00251873"/>
    <w:rsid w:val="00251DF9"/>
    <w:rsid w:val="00254699"/>
    <w:rsid w:val="002549A0"/>
    <w:rsid w:val="00255DA7"/>
    <w:rsid w:val="002568DF"/>
    <w:rsid w:val="0025755C"/>
    <w:rsid w:val="002605E7"/>
    <w:rsid w:val="00263387"/>
    <w:rsid w:val="00263797"/>
    <w:rsid w:val="002656B2"/>
    <w:rsid w:val="0026745E"/>
    <w:rsid w:val="002702BC"/>
    <w:rsid w:val="00270F70"/>
    <w:rsid w:val="00274545"/>
    <w:rsid w:val="00284702"/>
    <w:rsid w:val="00285D6E"/>
    <w:rsid w:val="00292D8C"/>
    <w:rsid w:val="002A214A"/>
    <w:rsid w:val="002A51EA"/>
    <w:rsid w:val="002A5C3E"/>
    <w:rsid w:val="002A74B9"/>
    <w:rsid w:val="002A79A9"/>
    <w:rsid w:val="002A79AA"/>
    <w:rsid w:val="002B09A7"/>
    <w:rsid w:val="002B1B50"/>
    <w:rsid w:val="002C1341"/>
    <w:rsid w:val="002C2412"/>
    <w:rsid w:val="002C6F18"/>
    <w:rsid w:val="002D27FA"/>
    <w:rsid w:val="002D28F0"/>
    <w:rsid w:val="002D2E64"/>
    <w:rsid w:val="002D3111"/>
    <w:rsid w:val="002D3691"/>
    <w:rsid w:val="002D374C"/>
    <w:rsid w:val="002D7B1E"/>
    <w:rsid w:val="002E68B2"/>
    <w:rsid w:val="002E7615"/>
    <w:rsid w:val="002F3FF3"/>
    <w:rsid w:val="002F4E62"/>
    <w:rsid w:val="002F5AEF"/>
    <w:rsid w:val="002F5BED"/>
    <w:rsid w:val="002F6A11"/>
    <w:rsid w:val="002F7B23"/>
    <w:rsid w:val="003019FC"/>
    <w:rsid w:val="003025F3"/>
    <w:rsid w:val="00303E4D"/>
    <w:rsid w:val="00303F75"/>
    <w:rsid w:val="003065B9"/>
    <w:rsid w:val="0030706D"/>
    <w:rsid w:val="003073DD"/>
    <w:rsid w:val="00307A6E"/>
    <w:rsid w:val="003103B3"/>
    <w:rsid w:val="003129E4"/>
    <w:rsid w:val="00315600"/>
    <w:rsid w:val="00317A1F"/>
    <w:rsid w:val="00322D46"/>
    <w:rsid w:val="003263AA"/>
    <w:rsid w:val="00330AF6"/>
    <w:rsid w:val="00333151"/>
    <w:rsid w:val="00333F72"/>
    <w:rsid w:val="00334E7D"/>
    <w:rsid w:val="00336406"/>
    <w:rsid w:val="0033731C"/>
    <w:rsid w:val="003404C6"/>
    <w:rsid w:val="00347DB9"/>
    <w:rsid w:val="00347DD4"/>
    <w:rsid w:val="00350355"/>
    <w:rsid w:val="00352137"/>
    <w:rsid w:val="00352EB6"/>
    <w:rsid w:val="00354698"/>
    <w:rsid w:val="00356595"/>
    <w:rsid w:val="00356A96"/>
    <w:rsid w:val="003575E1"/>
    <w:rsid w:val="00360310"/>
    <w:rsid w:val="00361766"/>
    <w:rsid w:val="003620FC"/>
    <w:rsid w:val="00364776"/>
    <w:rsid w:val="0037618E"/>
    <w:rsid w:val="00377864"/>
    <w:rsid w:val="003838B6"/>
    <w:rsid w:val="0038475C"/>
    <w:rsid w:val="00385C41"/>
    <w:rsid w:val="003861A0"/>
    <w:rsid w:val="00386AA8"/>
    <w:rsid w:val="00391A58"/>
    <w:rsid w:val="00391C38"/>
    <w:rsid w:val="00393F13"/>
    <w:rsid w:val="00394717"/>
    <w:rsid w:val="003A11EA"/>
    <w:rsid w:val="003A2E7A"/>
    <w:rsid w:val="003A370A"/>
    <w:rsid w:val="003A5B25"/>
    <w:rsid w:val="003A6221"/>
    <w:rsid w:val="003A628A"/>
    <w:rsid w:val="003A6761"/>
    <w:rsid w:val="003A6C26"/>
    <w:rsid w:val="003B06CB"/>
    <w:rsid w:val="003B10E5"/>
    <w:rsid w:val="003C1F89"/>
    <w:rsid w:val="003C5356"/>
    <w:rsid w:val="003C7C66"/>
    <w:rsid w:val="003C7E0A"/>
    <w:rsid w:val="003D1AC8"/>
    <w:rsid w:val="003D3208"/>
    <w:rsid w:val="003D7509"/>
    <w:rsid w:val="003E0546"/>
    <w:rsid w:val="003E1DEB"/>
    <w:rsid w:val="003E7A86"/>
    <w:rsid w:val="003F01E1"/>
    <w:rsid w:val="003F25B2"/>
    <w:rsid w:val="003F3880"/>
    <w:rsid w:val="003F74F0"/>
    <w:rsid w:val="003F77F2"/>
    <w:rsid w:val="00400D4A"/>
    <w:rsid w:val="00402DDB"/>
    <w:rsid w:val="00403BB0"/>
    <w:rsid w:val="00403EA9"/>
    <w:rsid w:val="0040432C"/>
    <w:rsid w:val="004043BB"/>
    <w:rsid w:val="00405FC4"/>
    <w:rsid w:val="0040647E"/>
    <w:rsid w:val="00407467"/>
    <w:rsid w:val="00407B30"/>
    <w:rsid w:val="00421270"/>
    <w:rsid w:val="00421FEE"/>
    <w:rsid w:val="00426AD8"/>
    <w:rsid w:val="00427C93"/>
    <w:rsid w:val="004302D4"/>
    <w:rsid w:val="00430316"/>
    <w:rsid w:val="00430892"/>
    <w:rsid w:val="00431A68"/>
    <w:rsid w:val="004344BD"/>
    <w:rsid w:val="004346D4"/>
    <w:rsid w:val="00436C06"/>
    <w:rsid w:val="00440833"/>
    <w:rsid w:val="004411AE"/>
    <w:rsid w:val="00444931"/>
    <w:rsid w:val="00446A92"/>
    <w:rsid w:val="00450607"/>
    <w:rsid w:val="00452F98"/>
    <w:rsid w:val="00456E01"/>
    <w:rsid w:val="00457285"/>
    <w:rsid w:val="00457465"/>
    <w:rsid w:val="004611DE"/>
    <w:rsid w:val="00461F02"/>
    <w:rsid w:val="004627BB"/>
    <w:rsid w:val="0046521D"/>
    <w:rsid w:val="00466921"/>
    <w:rsid w:val="00467006"/>
    <w:rsid w:val="004714EF"/>
    <w:rsid w:val="0047413C"/>
    <w:rsid w:val="00475C27"/>
    <w:rsid w:val="0047728A"/>
    <w:rsid w:val="00477339"/>
    <w:rsid w:val="004777D2"/>
    <w:rsid w:val="00477CE7"/>
    <w:rsid w:val="004820B2"/>
    <w:rsid w:val="00482B5B"/>
    <w:rsid w:val="00490DA2"/>
    <w:rsid w:val="00494E3D"/>
    <w:rsid w:val="00494EDB"/>
    <w:rsid w:val="00496E6D"/>
    <w:rsid w:val="004A2FE3"/>
    <w:rsid w:val="004B119B"/>
    <w:rsid w:val="004B19F3"/>
    <w:rsid w:val="004B278E"/>
    <w:rsid w:val="004B2A4D"/>
    <w:rsid w:val="004B36B9"/>
    <w:rsid w:val="004B47DC"/>
    <w:rsid w:val="004B58AA"/>
    <w:rsid w:val="004B5F5B"/>
    <w:rsid w:val="004B78B5"/>
    <w:rsid w:val="004C09AC"/>
    <w:rsid w:val="004C1BC2"/>
    <w:rsid w:val="004C312B"/>
    <w:rsid w:val="004C34D7"/>
    <w:rsid w:val="004C63E2"/>
    <w:rsid w:val="004D0455"/>
    <w:rsid w:val="004D1AD7"/>
    <w:rsid w:val="004D1C55"/>
    <w:rsid w:val="004D2D38"/>
    <w:rsid w:val="004D6748"/>
    <w:rsid w:val="004D7C95"/>
    <w:rsid w:val="004D7E0E"/>
    <w:rsid w:val="004E05CB"/>
    <w:rsid w:val="004E383E"/>
    <w:rsid w:val="004E4400"/>
    <w:rsid w:val="004F3F4B"/>
    <w:rsid w:val="00500390"/>
    <w:rsid w:val="0050209C"/>
    <w:rsid w:val="00504BF7"/>
    <w:rsid w:val="00505216"/>
    <w:rsid w:val="0050566A"/>
    <w:rsid w:val="00506E61"/>
    <w:rsid w:val="00507263"/>
    <w:rsid w:val="005122E0"/>
    <w:rsid w:val="00517F01"/>
    <w:rsid w:val="00524702"/>
    <w:rsid w:val="0052474A"/>
    <w:rsid w:val="00525612"/>
    <w:rsid w:val="00526132"/>
    <w:rsid w:val="00530345"/>
    <w:rsid w:val="005313AD"/>
    <w:rsid w:val="005329C4"/>
    <w:rsid w:val="005339AD"/>
    <w:rsid w:val="00533B71"/>
    <w:rsid w:val="00544ED5"/>
    <w:rsid w:val="00546EC2"/>
    <w:rsid w:val="00547E44"/>
    <w:rsid w:val="00547F2A"/>
    <w:rsid w:val="00550491"/>
    <w:rsid w:val="00550854"/>
    <w:rsid w:val="00551A9E"/>
    <w:rsid w:val="00552351"/>
    <w:rsid w:val="005536C8"/>
    <w:rsid w:val="00553E9F"/>
    <w:rsid w:val="0055586C"/>
    <w:rsid w:val="00557E32"/>
    <w:rsid w:val="0056108E"/>
    <w:rsid w:val="005619AB"/>
    <w:rsid w:val="00562A05"/>
    <w:rsid w:val="005633CE"/>
    <w:rsid w:val="00564613"/>
    <w:rsid w:val="005657BF"/>
    <w:rsid w:val="00565D1D"/>
    <w:rsid w:val="00567517"/>
    <w:rsid w:val="00572F86"/>
    <w:rsid w:val="005738A1"/>
    <w:rsid w:val="0057493D"/>
    <w:rsid w:val="00577530"/>
    <w:rsid w:val="005815A2"/>
    <w:rsid w:val="005843C2"/>
    <w:rsid w:val="005853A2"/>
    <w:rsid w:val="005877EB"/>
    <w:rsid w:val="00593822"/>
    <w:rsid w:val="0059484E"/>
    <w:rsid w:val="00594A7C"/>
    <w:rsid w:val="00595B55"/>
    <w:rsid w:val="0059641E"/>
    <w:rsid w:val="005A0908"/>
    <w:rsid w:val="005A1BA2"/>
    <w:rsid w:val="005A2CDF"/>
    <w:rsid w:val="005A3D81"/>
    <w:rsid w:val="005A775E"/>
    <w:rsid w:val="005B0961"/>
    <w:rsid w:val="005B125C"/>
    <w:rsid w:val="005B4711"/>
    <w:rsid w:val="005B5ACB"/>
    <w:rsid w:val="005B5D67"/>
    <w:rsid w:val="005B70CB"/>
    <w:rsid w:val="005C0F2B"/>
    <w:rsid w:val="005C5CEA"/>
    <w:rsid w:val="005D286B"/>
    <w:rsid w:val="005D3C10"/>
    <w:rsid w:val="005D44C7"/>
    <w:rsid w:val="005D4B51"/>
    <w:rsid w:val="005D4DB8"/>
    <w:rsid w:val="005D5639"/>
    <w:rsid w:val="005D6381"/>
    <w:rsid w:val="005D6EBE"/>
    <w:rsid w:val="005E0DE0"/>
    <w:rsid w:val="005E2750"/>
    <w:rsid w:val="005E5E9F"/>
    <w:rsid w:val="005E642C"/>
    <w:rsid w:val="005F27D1"/>
    <w:rsid w:val="005F62DB"/>
    <w:rsid w:val="005F6E9C"/>
    <w:rsid w:val="005F778B"/>
    <w:rsid w:val="006000A2"/>
    <w:rsid w:val="0060173D"/>
    <w:rsid w:val="00602501"/>
    <w:rsid w:val="00602F84"/>
    <w:rsid w:val="00603FF0"/>
    <w:rsid w:val="00605966"/>
    <w:rsid w:val="00606D58"/>
    <w:rsid w:val="00607A34"/>
    <w:rsid w:val="00610647"/>
    <w:rsid w:val="00611D4F"/>
    <w:rsid w:val="006123AE"/>
    <w:rsid w:val="00616349"/>
    <w:rsid w:val="00616601"/>
    <w:rsid w:val="00617AE2"/>
    <w:rsid w:val="00621389"/>
    <w:rsid w:val="00623E2C"/>
    <w:rsid w:val="00626E19"/>
    <w:rsid w:val="00626F62"/>
    <w:rsid w:val="0063260B"/>
    <w:rsid w:val="00632ADB"/>
    <w:rsid w:val="00637E27"/>
    <w:rsid w:val="0064004C"/>
    <w:rsid w:val="00642FE0"/>
    <w:rsid w:val="00644A8E"/>
    <w:rsid w:val="00652968"/>
    <w:rsid w:val="0065299C"/>
    <w:rsid w:val="00652A7C"/>
    <w:rsid w:val="00657E6C"/>
    <w:rsid w:val="0066205B"/>
    <w:rsid w:val="006627C1"/>
    <w:rsid w:val="00672545"/>
    <w:rsid w:val="0067332A"/>
    <w:rsid w:val="0067359B"/>
    <w:rsid w:val="00673AAD"/>
    <w:rsid w:val="00674282"/>
    <w:rsid w:val="006751EF"/>
    <w:rsid w:val="006777DA"/>
    <w:rsid w:val="006807E4"/>
    <w:rsid w:val="00681799"/>
    <w:rsid w:val="00683216"/>
    <w:rsid w:val="00683EFE"/>
    <w:rsid w:val="00685B29"/>
    <w:rsid w:val="00690563"/>
    <w:rsid w:val="0069556B"/>
    <w:rsid w:val="00697E11"/>
    <w:rsid w:val="006A12E0"/>
    <w:rsid w:val="006A212E"/>
    <w:rsid w:val="006A2161"/>
    <w:rsid w:val="006A2267"/>
    <w:rsid w:val="006A2E91"/>
    <w:rsid w:val="006A31B0"/>
    <w:rsid w:val="006A617C"/>
    <w:rsid w:val="006A6AE9"/>
    <w:rsid w:val="006B2906"/>
    <w:rsid w:val="006B478D"/>
    <w:rsid w:val="006B7DD4"/>
    <w:rsid w:val="006C0288"/>
    <w:rsid w:val="006C18B1"/>
    <w:rsid w:val="006C3D8A"/>
    <w:rsid w:val="006D067F"/>
    <w:rsid w:val="006D116A"/>
    <w:rsid w:val="006D3F44"/>
    <w:rsid w:val="006D5AD7"/>
    <w:rsid w:val="006D68D4"/>
    <w:rsid w:val="006E16C2"/>
    <w:rsid w:val="006E398A"/>
    <w:rsid w:val="006E4254"/>
    <w:rsid w:val="006E520A"/>
    <w:rsid w:val="006F145F"/>
    <w:rsid w:val="006F2095"/>
    <w:rsid w:val="006F230B"/>
    <w:rsid w:val="006F2BA5"/>
    <w:rsid w:val="006F4B80"/>
    <w:rsid w:val="006F5473"/>
    <w:rsid w:val="006F755C"/>
    <w:rsid w:val="0070302B"/>
    <w:rsid w:val="0070494A"/>
    <w:rsid w:val="00704FEE"/>
    <w:rsid w:val="0070670D"/>
    <w:rsid w:val="00710B05"/>
    <w:rsid w:val="00711B58"/>
    <w:rsid w:val="007152A4"/>
    <w:rsid w:val="007174FA"/>
    <w:rsid w:val="0071799A"/>
    <w:rsid w:val="00717BD1"/>
    <w:rsid w:val="00720992"/>
    <w:rsid w:val="00724452"/>
    <w:rsid w:val="007246A3"/>
    <w:rsid w:val="007254B3"/>
    <w:rsid w:val="007254D7"/>
    <w:rsid w:val="007264AC"/>
    <w:rsid w:val="007265B7"/>
    <w:rsid w:val="007267DB"/>
    <w:rsid w:val="00727495"/>
    <w:rsid w:val="0072782B"/>
    <w:rsid w:val="00727857"/>
    <w:rsid w:val="0073132B"/>
    <w:rsid w:val="00737783"/>
    <w:rsid w:val="00744A35"/>
    <w:rsid w:val="007513C9"/>
    <w:rsid w:val="0075153E"/>
    <w:rsid w:val="00751D25"/>
    <w:rsid w:val="00755153"/>
    <w:rsid w:val="00756B36"/>
    <w:rsid w:val="0076043B"/>
    <w:rsid w:val="00763089"/>
    <w:rsid w:val="00770C9D"/>
    <w:rsid w:val="00771953"/>
    <w:rsid w:val="00771C6B"/>
    <w:rsid w:val="0077250A"/>
    <w:rsid w:val="0077314C"/>
    <w:rsid w:val="00774BFE"/>
    <w:rsid w:val="0078107F"/>
    <w:rsid w:val="007859A7"/>
    <w:rsid w:val="00787E14"/>
    <w:rsid w:val="00790598"/>
    <w:rsid w:val="00792998"/>
    <w:rsid w:val="00797843"/>
    <w:rsid w:val="007979A5"/>
    <w:rsid w:val="007A136D"/>
    <w:rsid w:val="007B03B0"/>
    <w:rsid w:val="007B15E1"/>
    <w:rsid w:val="007B175E"/>
    <w:rsid w:val="007B363E"/>
    <w:rsid w:val="007B4BDD"/>
    <w:rsid w:val="007B5C2C"/>
    <w:rsid w:val="007C1261"/>
    <w:rsid w:val="007C1515"/>
    <w:rsid w:val="007C1F24"/>
    <w:rsid w:val="007C2DEC"/>
    <w:rsid w:val="007C315D"/>
    <w:rsid w:val="007C37F9"/>
    <w:rsid w:val="007C5026"/>
    <w:rsid w:val="007C60FB"/>
    <w:rsid w:val="007C6811"/>
    <w:rsid w:val="007C6946"/>
    <w:rsid w:val="007C7A73"/>
    <w:rsid w:val="007C7DFA"/>
    <w:rsid w:val="007D4E64"/>
    <w:rsid w:val="007D4E89"/>
    <w:rsid w:val="007D6850"/>
    <w:rsid w:val="007E169D"/>
    <w:rsid w:val="007E32BB"/>
    <w:rsid w:val="007E47FA"/>
    <w:rsid w:val="007E5AEE"/>
    <w:rsid w:val="007F02A3"/>
    <w:rsid w:val="007F17FE"/>
    <w:rsid w:val="007F3C3B"/>
    <w:rsid w:val="007F6DBB"/>
    <w:rsid w:val="007F7471"/>
    <w:rsid w:val="007F7657"/>
    <w:rsid w:val="007F7DF2"/>
    <w:rsid w:val="00802A64"/>
    <w:rsid w:val="008036BC"/>
    <w:rsid w:val="00806AA6"/>
    <w:rsid w:val="008116FD"/>
    <w:rsid w:val="008176F9"/>
    <w:rsid w:val="00817C36"/>
    <w:rsid w:val="008206AF"/>
    <w:rsid w:val="008247F1"/>
    <w:rsid w:val="00824AD5"/>
    <w:rsid w:val="00825DD9"/>
    <w:rsid w:val="0082639A"/>
    <w:rsid w:val="00831AEF"/>
    <w:rsid w:val="0083437C"/>
    <w:rsid w:val="00835833"/>
    <w:rsid w:val="00837103"/>
    <w:rsid w:val="008407AF"/>
    <w:rsid w:val="0084278B"/>
    <w:rsid w:val="00842B2A"/>
    <w:rsid w:val="00844D29"/>
    <w:rsid w:val="00847D82"/>
    <w:rsid w:val="00847EF6"/>
    <w:rsid w:val="0085043C"/>
    <w:rsid w:val="00850952"/>
    <w:rsid w:val="00853157"/>
    <w:rsid w:val="0085335D"/>
    <w:rsid w:val="0086017B"/>
    <w:rsid w:val="0086133A"/>
    <w:rsid w:val="00865F05"/>
    <w:rsid w:val="00867E77"/>
    <w:rsid w:val="008730DE"/>
    <w:rsid w:val="00874715"/>
    <w:rsid w:val="0087738F"/>
    <w:rsid w:val="00877DE7"/>
    <w:rsid w:val="00880B0C"/>
    <w:rsid w:val="00881827"/>
    <w:rsid w:val="008829B4"/>
    <w:rsid w:val="00882AAF"/>
    <w:rsid w:val="008849BC"/>
    <w:rsid w:val="008860F7"/>
    <w:rsid w:val="00890698"/>
    <w:rsid w:val="008907E3"/>
    <w:rsid w:val="008911CB"/>
    <w:rsid w:val="008919D3"/>
    <w:rsid w:val="008921F1"/>
    <w:rsid w:val="0089246C"/>
    <w:rsid w:val="00893001"/>
    <w:rsid w:val="0089598C"/>
    <w:rsid w:val="008971C7"/>
    <w:rsid w:val="008A1D50"/>
    <w:rsid w:val="008A5709"/>
    <w:rsid w:val="008A7340"/>
    <w:rsid w:val="008A79D2"/>
    <w:rsid w:val="008B2C8C"/>
    <w:rsid w:val="008B4CD4"/>
    <w:rsid w:val="008B55B5"/>
    <w:rsid w:val="008C3596"/>
    <w:rsid w:val="008D0A69"/>
    <w:rsid w:val="008D20EB"/>
    <w:rsid w:val="008D362C"/>
    <w:rsid w:val="008D6E42"/>
    <w:rsid w:val="008D6FBA"/>
    <w:rsid w:val="008E268B"/>
    <w:rsid w:val="008E390F"/>
    <w:rsid w:val="008E4DFB"/>
    <w:rsid w:val="008E51C3"/>
    <w:rsid w:val="008E5B06"/>
    <w:rsid w:val="008E6425"/>
    <w:rsid w:val="008E64A0"/>
    <w:rsid w:val="008E7576"/>
    <w:rsid w:val="008F0DFC"/>
    <w:rsid w:val="008F2120"/>
    <w:rsid w:val="008F3927"/>
    <w:rsid w:val="008F6EE7"/>
    <w:rsid w:val="008F7D09"/>
    <w:rsid w:val="00902597"/>
    <w:rsid w:val="00904444"/>
    <w:rsid w:val="00905F5B"/>
    <w:rsid w:val="00907C5C"/>
    <w:rsid w:val="00910923"/>
    <w:rsid w:val="009143BB"/>
    <w:rsid w:val="00917066"/>
    <w:rsid w:val="00917455"/>
    <w:rsid w:val="00921CFC"/>
    <w:rsid w:val="0092489E"/>
    <w:rsid w:val="00926C39"/>
    <w:rsid w:val="00926F4F"/>
    <w:rsid w:val="0093168F"/>
    <w:rsid w:val="00931B9E"/>
    <w:rsid w:val="0093511D"/>
    <w:rsid w:val="00935B2E"/>
    <w:rsid w:val="00936038"/>
    <w:rsid w:val="00941C02"/>
    <w:rsid w:val="0094266C"/>
    <w:rsid w:val="00947E9C"/>
    <w:rsid w:val="00950F24"/>
    <w:rsid w:val="0095460C"/>
    <w:rsid w:val="00954D60"/>
    <w:rsid w:val="00962320"/>
    <w:rsid w:val="0096411E"/>
    <w:rsid w:val="00971C0F"/>
    <w:rsid w:val="009764DA"/>
    <w:rsid w:val="009767D8"/>
    <w:rsid w:val="0097709E"/>
    <w:rsid w:val="00980BF6"/>
    <w:rsid w:val="00981FC1"/>
    <w:rsid w:val="0098418E"/>
    <w:rsid w:val="00984273"/>
    <w:rsid w:val="009844CB"/>
    <w:rsid w:val="00990A1D"/>
    <w:rsid w:val="00990DEF"/>
    <w:rsid w:val="00992538"/>
    <w:rsid w:val="009937E0"/>
    <w:rsid w:val="009952B7"/>
    <w:rsid w:val="009A14D2"/>
    <w:rsid w:val="009A49BD"/>
    <w:rsid w:val="009A537D"/>
    <w:rsid w:val="009A6446"/>
    <w:rsid w:val="009B1422"/>
    <w:rsid w:val="009B31EB"/>
    <w:rsid w:val="009B5120"/>
    <w:rsid w:val="009B5FCF"/>
    <w:rsid w:val="009B7C97"/>
    <w:rsid w:val="009C08FD"/>
    <w:rsid w:val="009C0D8F"/>
    <w:rsid w:val="009C153A"/>
    <w:rsid w:val="009C1EEB"/>
    <w:rsid w:val="009C2B81"/>
    <w:rsid w:val="009C4256"/>
    <w:rsid w:val="009C447D"/>
    <w:rsid w:val="009C4B95"/>
    <w:rsid w:val="009D3486"/>
    <w:rsid w:val="009D4998"/>
    <w:rsid w:val="009D6572"/>
    <w:rsid w:val="009D77AA"/>
    <w:rsid w:val="009E31EF"/>
    <w:rsid w:val="009E6A8A"/>
    <w:rsid w:val="00A03165"/>
    <w:rsid w:val="00A06CF5"/>
    <w:rsid w:val="00A07080"/>
    <w:rsid w:val="00A10034"/>
    <w:rsid w:val="00A10997"/>
    <w:rsid w:val="00A11E5D"/>
    <w:rsid w:val="00A12896"/>
    <w:rsid w:val="00A13DE7"/>
    <w:rsid w:val="00A161E4"/>
    <w:rsid w:val="00A243FE"/>
    <w:rsid w:val="00A25BA0"/>
    <w:rsid w:val="00A30527"/>
    <w:rsid w:val="00A312C7"/>
    <w:rsid w:val="00A351A6"/>
    <w:rsid w:val="00A37DD2"/>
    <w:rsid w:val="00A41C3A"/>
    <w:rsid w:val="00A4234B"/>
    <w:rsid w:val="00A42C79"/>
    <w:rsid w:val="00A42E1D"/>
    <w:rsid w:val="00A44108"/>
    <w:rsid w:val="00A50F20"/>
    <w:rsid w:val="00A5175E"/>
    <w:rsid w:val="00A52ABC"/>
    <w:rsid w:val="00A55A88"/>
    <w:rsid w:val="00A56A97"/>
    <w:rsid w:val="00A61FFF"/>
    <w:rsid w:val="00A63193"/>
    <w:rsid w:val="00A63DE4"/>
    <w:rsid w:val="00A65045"/>
    <w:rsid w:val="00A667AE"/>
    <w:rsid w:val="00A67453"/>
    <w:rsid w:val="00A67E31"/>
    <w:rsid w:val="00A70F3A"/>
    <w:rsid w:val="00A718CB"/>
    <w:rsid w:val="00A72475"/>
    <w:rsid w:val="00A72A71"/>
    <w:rsid w:val="00A72E52"/>
    <w:rsid w:val="00A74D54"/>
    <w:rsid w:val="00A77C58"/>
    <w:rsid w:val="00A81421"/>
    <w:rsid w:val="00A83496"/>
    <w:rsid w:val="00A83817"/>
    <w:rsid w:val="00A85086"/>
    <w:rsid w:val="00A854C5"/>
    <w:rsid w:val="00A86BB1"/>
    <w:rsid w:val="00A935DA"/>
    <w:rsid w:val="00A94D20"/>
    <w:rsid w:val="00AA2569"/>
    <w:rsid w:val="00AA40F9"/>
    <w:rsid w:val="00AA4B44"/>
    <w:rsid w:val="00AB17FA"/>
    <w:rsid w:val="00AB35F7"/>
    <w:rsid w:val="00AB3D6C"/>
    <w:rsid w:val="00AB3DC3"/>
    <w:rsid w:val="00AB4D0D"/>
    <w:rsid w:val="00AB4FC1"/>
    <w:rsid w:val="00AB6493"/>
    <w:rsid w:val="00AB6FDD"/>
    <w:rsid w:val="00AC020A"/>
    <w:rsid w:val="00AC13FF"/>
    <w:rsid w:val="00AC4BF4"/>
    <w:rsid w:val="00AC6206"/>
    <w:rsid w:val="00AC7162"/>
    <w:rsid w:val="00AD0B69"/>
    <w:rsid w:val="00AD15B0"/>
    <w:rsid w:val="00AD37D9"/>
    <w:rsid w:val="00AD3951"/>
    <w:rsid w:val="00AD4A5C"/>
    <w:rsid w:val="00AD62E8"/>
    <w:rsid w:val="00AD6E02"/>
    <w:rsid w:val="00AD7470"/>
    <w:rsid w:val="00AE1C79"/>
    <w:rsid w:val="00AE2E43"/>
    <w:rsid w:val="00AE30F9"/>
    <w:rsid w:val="00AE678F"/>
    <w:rsid w:val="00AF1944"/>
    <w:rsid w:val="00AF39A5"/>
    <w:rsid w:val="00AF3EDD"/>
    <w:rsid w:val="00AF410B"/>
    <w:rsid w:val="00B0178C"/>
    <w:rsid w:val="00B02FAF"/>
    <w:rsid w:val="00B03A08"/>
    <w:rsid w:val="00B05109"/>
    <w:rsid w:val="00B05BE7"/>
    <w:rsid w:val="00B06877"/>
    <w:rsid w:val="00B06A59"/>
    <w:rsid w:val="00B11213"/>
    <w:rsid w:val="00B13091"/>
    <w:rsid w:val="00B13AC8"/>
    <w:rsid w:val="00B1456F"/>
    <w:rsid w:val="00B1776C"/>
    <w:rsid w:val="00B201FA"/>
    <w:rsid w:val="00B207B2"/>
    <w:rsid w:val="00B20F54"/>
    <w:rsid w:val="00B22429"/>
    <w:rsid w:val="00B22571"/>
    <w:rsid w:val="00B23C73"/>
    <w:rsid w:val="00B24ADF"/>
    <w:rsid w:val="00B24BF5"/>
    <w:rsid w:val="00B2592D"/>
    <w:rsid w:val="00B26F33"/>
    <w:rsid w:val="00B33A88"/>
    <w:rsid w:val="00B34D1B"/>
    <w:rsid w:val="00B369C8"/>
    <w:rsid w:val="00B370CD"/>
    <w:rsid w:val="00B408EF"/>
    <w:rsid w:val="00B41C84"/>
    <w:rsid w:val="00B45117"/>
    <w:rsid w:val="00B45885"/>
    <w:rsid w:val="00B570C0"/>
    <w:rsid w:val="00B60771"/>
    <w:rsid w:val="00B615F2"/>
    <w:rsid w:val="00B63446"/>
    <w:rsid w:val="00B64824"/>
    <w:rsid w:val="00B67090"/>
    <w:rsid w:val="00B67A70"/>
    <w:rsid w:val="00B70E60"/>
    <w:rsid w:val="00B735C3"/>
    <w:rsid w:val="00B739FA"/>
    <w:rsid w:val="00B7490E"/>
    <w:rsid w:val="00B75AAA"/>
    <w:rsid w:val="00B76245"/>
    <w:rsid w:val="00B763FA"/>
    <w:rsid w:val="00B8019A"/>
    <w:rsid w:val="00B8054B"/>
    <w:rsid w:val="00B805B4"/>
    <w:rsid w:val="00B80E16"/>
    <w:rsid w:val="00B80FF6"/>
    <w:rsid w:val="00B82663"/>
    <w:rsid w:val="00B84D15"/>
    <w:rsid w:val="00B850CB"/>
    <w:rsid w:val="00B85868"/>
    <w:rsid w:val="00B87056"/>
    <w:rsid w:val="00B87B0B"/>
    <w:rsid w:val="00B87DFF"/>
    <w:rsid w:val="00B904AA"/>
    <w:rsid w:val="00B91940"/>
    <w:rsid w:val="00B9287E"/>
    <w:rsid w:val="00B932E8"/>
    <w:rsid w:val="00B973D9"/>
    <w:rsid w:val="00BA2026"/>
    <w:rsid w:val="00BA6BB8"/>
    <w:rsid w:val="00BA7226"/>
    <w:rsid w:val="00BA7241"/>
    <w:rsid w:val="00BB06B8"/>
    <w:rsid w:val="00BB463D"/>
    <w:rsid w:val="00BB4AB0"/>
    <w:rsid w:val="00BB57C2"/>
    <w:rsid w:val="00BC0548"/>
    <w:rsid w:val="00BC129B"/>
    <w:rsid w:val="00BC213E"/>
    <w:rsid w:val="00BC2309"/>
    <w:rsid w:val="00BC495A"/>
    <w:rsid w:val="00BD2D1A"/>
    <w:rsid w:val="00BD54F5"/>
    <w:rsid w:val="00BE0453"/>
    <w:rsid w:val="00BE1068"/>
    <w:rsid w:val="00BE46FC"/>
    <w:rsid w:val="00BF05FD"/>
    <w:rsid w:val="00BF435D"/>
    <w:rsid w:val="00BF43C2"/>
    <w:rsid w:val="00BF4D35"/>
    <w:rsid w:val="00BF5128"/>
    <w:rsid w:val="00C02ABC"/>
    <w:rsid w:val="00C0625E"/>
    <w:rsid w:val="00C0728B"/>
    <w:rsid w:val="00C11C81"/>
    <w:rsid w:val="00C11F68"/>
    <w:rsid w:val="00C11FDF"/>
    <w:rsid w:val="00C13233"/>
    <w:rsid w:val="00C1522A"/>
    <w:rsid w:val="00C15C0A"/>
    <w:rsid w:val="00C2120F"/>
    <w:rsid w:val="00C21827"/>
    <w:rsid w:val="00C22CE9"/>
    <w:rsid w:val="00C23C70"/>
    <w:rsid w:val="00C24BC5"/>
    <w:rsid w:val="00C256FA"/>
    <w:rsid w:val="00C26197"/>
    <w:rsid w:val="00C261C3"/>
    <w:rsid w:val="00C316DB"/>
    <w:rsid w:val="00C31E82"/>
    <w:rsid w:val="00C32436"/>
    <w:rsid w:val="00C34D58"/>
    <w:rsid w:val="00C36295"/>
    <w:rsid w:val="00C4006B"/>
    <w:rsid w:val="00C422BC"/>
    <w:rsid w:val="00C47FA6"/>
    <w:rsid w:val="00C50037"/>
    <w:rsid w:val="00C507CE"/>
    <w:rsid w:val="00C50F0B"/>
    <w:rsid w:val="00C51727"/>
    <w:rsid w:val="00C538F9"/>
    <w:rsid w:val="00C55BC9"/>
    <w:rsid w:val="00C60C10"/>
    <w:rsid w:val="00C66D04"/>
    <w:rsid w:val="00C672DB"/>
    <w:rsid w:val="00C67D9A"/>
    <w:rsid w:val="00C67E73"/>
    <w:rsid w:val="00C71263"/>
    <w:rsid w:val="00C7193A"/>
    <w:rsid w:val="00C74C4E"/>
    <w:rsid w:val="00C74CE6"/>
    <w:rsid w:val="00C74FB3"/>
    <w:rsid w:val="00C810F0"/>
    <w:rsid w:val="00C83BBD"/>
    <w:rsid w:val="00C84C9F"/>
    <w:rsid w:val="00C857E5"/>
    <w:rsid w:val="00C86D69"/>
    <w:rsid w:val="00C917EE"/>
    <w:rsid w:val="00C936B6"/>
    <w:rsid w:val="00C9452A"/>
    <w:rsid w:val="00C951EC"/>
    <w:rsid w:val="00C96E3F"/>
    <w:rsid w:val="00C97F4A"/>
    <w:rsid w:val="00CA2477"/>
    <w:rsid w:val="00CA39C8"/>
    <w:rsid w:val="00CA536B"/>
    <w:rsid w:val="00CA7F16"/>
    <w:rsid w:val="00CB14AD"/>
    <w:rsid w:val="00CB1BE7"/>
    <w:rsid w:val="00CB2F3E"/>
    <w:rsid w:val="00CB3832"/>
    <w:rsid w:val="00CB39FE"/>
    <w:rsid w:val="00CC0631"/>
    <w:rsid w:val="00CC0CAA"/>
    <w:rsid w:val="00CC2F62"/>
    <w:rsid w:val="00CC3B13"/>
    <w:rsid w:val="00CC594C"/>
    <w:rsid w:val="00CC5AF8"/>
    <w:rsid w:val="00CC65C5"/>
    <w:rsid w:val="00CC66C6"/>
    <w:rsid w:val="00CD0052"/>
    <w:rsid w:val="00CD0B07"/>
    <w:rsid w:val="00CD2322"/>
    <w:rsid w:val="00CD28A3"/>
    <w:rsid w:val="00CD3615"/>
    <w:rsid w:val="00CD5A17"/>
    <w:rsid w:val="00CD5B61"/>
    <w:rsid w:val="00CD6058"/>
    <w:rsid w:val="00CD7A42"/>
    <w:rsid w:val="00CE1798"/>
    <w:rsid w:val="00CE3341"/>
    <w:rsid w:val="00CE3706"/>
    <w:rsid w:val="00CE41F9"/>
    <w:rsid w:val="00CE64C6"/>
    <w:rsid w:val="00CE688C"/>
    <w:rsid w:val="00CE6D97"/>
    <w:rsid w:val="00CE7D14"/>
    <w:rsid w:val="00CE7D7D"/>
    <w:rsid w:val="00CE7FE0"/>
    <w:rsid w:val="00CF0B0F"/>
    <w:rsid w:val="00CF1F0A"/>
    <w:rsid w:val="00CF63D3"/>
    <w:rsid w:val="00CF677E"/>
    <w:rsid w:val="00CF6F3C"/>
    <w:rsid w:val="00CF714F"/>
    <w:rsid w:val="00D00402"/>
    <w:rsid w:val="00D01792"/>
    <w:rsid w:val="00D04346"/>
    <w:rsid w:val="00D06A3C"/>
    <w:rsid w:val="00D10C26"/>
    <w:rsid w:val="00D11358"/>
    <w:rsid w:val="00D11901"/>
    <w:rsid w:val="00D1250B"/>
    <w:rsid w:val="00D13E5F"/>
    <w:rsid w:val="00D13FAF"/>
    <w:rsid w:val="00D25AFB"/>
    <w:rsid w:val="00D25C3E"/>
    <w:rsid w:val="00D30334"/>
    <w:rsid w:val="00D36F49"/>
    <w:rsid w:val="00D40E75"/>
    <w:rsid w:val="00D41B17"/>
    <w:rsid w:val="00D53BBF"/>
    <w:rsid w:val="00D56587"/>
    <w:rsid w:val="00D56A7E"/>
    <w:rsid w:val="00D6088F"/>
    <w:rsid w:val="00D61D71"/>
    <w:rsid w:val="00D6685F"/>
    <w:rsid w:val="00D66922"/>
    <w:rsid w:val="00D725A0"/>
    <w:rsid w:val="00D7322D"/>
    <w:rsid w:val="00D733D6"/>
    <w:rsid w:val="00D7758C"/>
    <w:rsid w:val="00D778ED"/>
    <w:rsid w:val="00D80C9E"/>
    <w:rsid w:val="00D851BE"/>
    <w:rsid w:val="00D852F5"/>
    <w:rsid w:val="00D85456"/>
    <w:rsid w:val="00D85B5B"/>
    <w:rsid w:val="00D90501"/>
    <w:rsid w:val="00D91138"/>
    <w:rsid w:val="00D9432B"/>
    <w:rsid w:val="00D970DA"/>
    <w:rsid w:val="00D97D01"/>
    <w:rsid w:val="00DA1096"/>
    <w:rsid w:val="00DA1CB9"/>
    <w:rsid w:val="00DA1DE6"/>
    <w:rsid w:val="00DA402E"/>
    <w:rsid w:val="00DA54CB"/>
    <w:rsid w:val="00DA7917"/>
    <w:rsid w:val="00DB0A8E"/>
    <w:rsid w:val="00DB21D1"/>
    <w:rsid w:val="00DB266F"/>
    <w:rsid w:val="00DB48A4"/>
    <w:rsid w:val="00DB5CD1"/>
    <w:rsid w:val="00DB79D2"/>
    <w:rsid w:val="00DC0BF2"/>
    <w:rsid w:val="00DC2005"/>
    <w:rsid w:val="00DD1D62"/>
    <w:rsid w:val="00DD3398"/>
    <w:rsid w:val="00DD378A"/>
    <w:rsid w:val="00DD6608"/>
    <w:rsid w:val="00DE086E"/>
    <w:rsid w:val="00DE0870"/>
    <w:rsid w:val="00DE30DC"/>
    <w:rsid w:val="00DE3ED8"/>
    <w:rsid w:val="00DE64FE"/>
    <w:rsid w:val="00DE6B79"/>
    <w:rsid w:val="00DE7944"/>
    <w:rsid w:val="00DF09F2"/>
    <w:rsid w:val="00DF2307"/>
    <w:rsid w:val="00DF2DBF"/>
    <w:rsid w:val="00DF4C8A"/>
    <w:rsid w:val="00DF5208"/>
    <w:rsid w:val="00E01A64"/>
    <w:rsid w:val="00E04829"/>
    <w:rsid w:val="00E04DB8"/>
    <w:rsid w:val="00E16BB9"/>
    <w:rsid w:val="00E17E99"/>
    <w:rsid w:val="00E20BD6"/>
    <w:rsid w:val="00E233FF"/>
    <w:rsid w:val="00E24E2F"/>
    <w:rsid w:val="00E2570B"/>
    <w:rsid w:val="00E30DC6"/>
    <w:rsid w:val="00E33AAA"/>
    <w:rsid w:val="00E36A40"/>
    <w:rsid w:val="00E37EF4"/>
    <w:rsid w:val="00E418F0"/>
    <w:rsid w:val="00E41F61"/>
    <w:rsid w:val="00E43CEF"/>
    <w:rsid w:val="00E44A59"/>
    <w:rsid w:val="00E45A56"/>
    <w:rsid w:val="00E460E8"/>
    <w:rsid w:val="00E5031A"/>
    <w:rsid w:val="00E50753"/>
    <w:rsid w:val="00E512FB"/>
    <w:rsid w:val="00E53486"/>
    <w:rsid w:val="00E535ED"/>
    <w:rsid w:val="00E53C8F"/>
    <w:rsid w:val="00E55CBA"/>
    <w:rsid w:val="00E56CDF"/>
    <w:rsid w:val="00E61893"/>
    <w:rsid w:val="00E650E3"/>
    <w:rsid w:val="00E655A0"/>
    <w:rsid w:val="00E72EA1"/>
    <w:rsid w:val="00E73E68"/>
    <w:rsid w:val="00E73F54"/>
    <w:rsid w:val="00E8043C"/>
    <w:rsid w:val="00E8146F"/>
    <w:rsid w:val="00E83E95"/>
    <w:rsid w:val="00E85323"/>
    <w:rsid w:val="00E85B4F"/>
    <w:rsid w:val="00E90068"/>
    <w:rsid w:val="00E91518"/>
    <w:rsid w:val="00E938CA"/>
    <w:rsid w:val="00E93FB5"/>
    <w:rsid w:val="00E96FCA"/>
    <w:rsid w:val="00E977E5"/>
    <w:rsid w:val="00EA23B8"/>
    <w:rsid w:val="00EA2D15"/>
    <w:rsid w:val="00EA5242"/>
    <w:rsid w:val="00EB29C2"/>
    <w:rsid w:val="00EC1F1E"/>
    <w:rsid w:val="00EC5DCA"/>
    <w:rsid w:val="00EC75FD"/>
    <w:rsid w:val="00EC767E"/>
    <w:rsid w:val="00ED0487"/>
    <w:rsid w:val="00ED2A73"/>
    <w:rsid w:val="00ED7F43"/>
    <w:rsid w:val="00EE2210"/>
    <w:rsid w:val="00EE23A5"/>
    <w:rsid w:val="00EE3C33"/>
    <w:rsid w:val="00EE4A5C"/>
    <w:rsid w:val="00EE4CB1"/>
    <w:rsid w:val="00EE65F4"/>
    <w:rsid w:val="00EF0434"/>
    <w:rsid w:val="00EF0D7C"/>
    <w:rsid w:val="00EF0DA3"/>
    <w:rsid w:val="00EF20E5"/>
    <w:rsid w:val="00EF3E4D"/>
    <w:rsid w:val="00EF431D"/>
    <w:rsid w:val="00EF4E32"/>
    <w:rsid w:val="00F0009F"/>
    <w:rsid w:val="00F001ED"/>
    <w:rsid w:val="00F00B7C"/>
    <w:rsid w:val="00F020DD"/>
    <w:rsid w:val="00F03246"/>
    <w:rsid w:val="00F06136"/>
    <w:rsid w:val="00F137F5"/>
    <w:rsid w:val="00F147BF"/>
    <w:rsid w:val="00F169A8"/>
    <w:rsid w:val="00F16C26"/>
    <w:rsid w:val="00F20207"/>
    <w:rsid w:val="00F2074A"/>
    <w:rsid w:val="00F2143E"/>
    <w:rsid w:val="00F2199A"/>
    <w:rsid w:val="00F256C2"/>
    <w:rsid w:val="00F27812"/>
    <w:rsid w:val="00F32972"/>
    <w:rsid w:val="00F32BEF"/>
    <w:rsid w:val="00F34BFA"/>
    <w:rsid w:val="00F37976"/>
    <w:rsid w:val="00F40C1B"/>
    <w:rsid w:val="00F4161D"/>
    <w:rsid w:val="00F45562"/>
    <w:rsid w:val="00F45E7B"/>
    <w:rsid w:val="00F477B3"/>
    <w:rsid w:val="00F47FDB"/>
    <w:rsid w:val="00F51356"/>
    <w:rsid w:val="00F558A9"/>
    <w:rsid w:val="00F55B02"/>
    <w:rsid w:val="00F56CE4"/>
    <w:rsid w:val="00F6167C"/>
    <w:rsid w:val="00F63C1B"/>
    <w:rsid w:val="00F6423B"/>
    <w:rsid w:val="00F66EA2"/>
    <w:rsid w:val="00F728F8"/>
    <w:rsid w:val="00F72A5F"/>
    <w:rsid w:val="00F75554"/>
    <w:rsid w:val="00F8244D"/>
    <w:rsid w:val="00F829B5"/>
    <w:rsid w:val="00F82F5B"/>
    <w:rsid w:val="00F841D0"/>
    <w:rsid w:val="00F84C61"/>
    <w:rsid w:val="00F85A3F"/>
    <w:rsid w:val="00F90EA9"/>
    <w:rsid w:val="00F925AC"/>
    <w:rsid w:val="00F92DE4"/>
    <w:rsid w:val="00F95F5F"/>
    <w:rsid w:val="00FA4CCD"/>
    <w:rsid w:val="00FA7EAA"/>
    <w:rsid w:val="00FB03AE"/>
    <w:rsid w:val="00FB087A"/>
    <w:rsid w:val="00FB10C9"/>
    <w:rsid w:val="00FB34D4"/>
    <w:rsid w:val="00FB6AC6"/>
    <w:rsid w:val="00FB703C"/>
    <w:rsid w:val="00FB73F1"/>
    <w:rsid w:val="00FB7D7D"/>
    <w:rsid w:val="00FC08A5"/>
    <w:rsid w:val="00FC6323"/>
    <w:rsid w:val="00FD08CE"/>
    <w:rsid w:val="00FD1693"/>
    <w:rsid w:val="00FD4B2E"/>
    <w:rsid w:val="00FD53DC"/>
    <w:rsid w:val="00FD67D7"/>
    <w:rsid w:val="00FD7605"/>
    <w:rsid w:val="00FE11FB"/>
    <w:rsid w:val="00FE24EB"/>
    <w:rsid w:val="00FE27B8"/>
    <w:rsid w:val="00FE2E74"/>
    <w:rsid w:val="00FE4D41"/>
    <w:rsid w:val="00FF2E5E"/>
    <w:rsid w:val="00FF2FF9"/>
    <w:rsid w:val="00FF3DAD"/>
    <w:rsid w:val="00FF4F9E"/>
    <w:rsid w:val="00FF7F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D76FC"/>
  <w15:chartTrackingRefBased/>
  <w15:docId w15:val="{ECD295EB-14D3-4B2B-A200-41BBE25F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3">
    <w:name w:val="heading 3"/>
    <w:basedOn w:val="Normal"/>
    <w:link w:val="Titlu3Caracter"/>
    <w:uiPriority w:val="9"/>
    <w:qFormat/>
    <w:rsid w:val="0093511D"/>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paragraph" w:styleId="Titlu4">
    <w:name w:val="heading 4"/>
    <w:basedOn w:val="Normal"/>
    <w:next w:val="Normal"/>
    <w:link w:val="Titlu4Caracter"/>
    <w:uiPriority w:val="9"/>
    <w:semiHidden/>
    <w:unhideWhenUsed/>
    <w:qFormat/>
    <w:rsid w:val="003103B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36031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36031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36031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unhideWhenUsed/>
    <w:rsid w:val="00360310"/>
    <w:rPr>
      <w:color w:val="0000FF"/>
      <w:u w:val="single"/>
    </w:rPr>
  </w:style>
  <w:style w:type="paragraph" w:customStyle="1" w:styleId="Default">
    <w:name w:val="Default"/>
    <w:rsid w:val="00DA79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D61D71"/>
    <w:pPr>
      <w:ind w:left="720"/>
      <w:contextualSpacing/>
    </w:pPr>
  </w:style>
  <w:style w:type="character" w:styleId="Referincomentariu">
    <w:name w:val="annotation reference"/>
    <w:basedOn w:val="Fontdeparagrafimplicit"/>
    <w:uiPriority w:val="99"/>
    <w:semiHidden/>
    <w:unhideWhenUsed/>
    <w:rsid w:val="00407B30"/>
    <w:rPr>
      <w:sz w:val="16"/>
      <w:szCs w:val="16"/>
    </w:rPr>
  </w:style>
  <w:style w:type="paragraph" w:styleId="Textcomentariu">
    <w:name w:val="annotation text"/>
    <w:basedOn w:val="Normal"/>
    <w:link w:val="TextcomentariuCaracter"/>
    <w:uiPriority w:val="99"/>
    <w:unhideWhenUsed/>
    <w:rsid w:val="00407B30"/>
    <w:pPr>
      <w:spacing w:line="240" w:lineRule="auto"/>
    </w:pPr>
    <w:rPr>
      <w:sz w:val="20"/>
      <w:szCs w:val="20"/>
    </w:rPr>
  </w:style>
  <w:style w:type="character" w:customStyle="1" w:styleId="TextcomentariuCaracter">
    <w:name w:val="Text comentariu Caracter"/>
    <w:basedOn w:val="Fontdeparagrafimplicit"/>
    <w:link w:val="Textcomentariu"/>
    <w:uiPriority w:val="99"/>
    <w:rsid w:val="00407B30"/>
    <w:rPr>
      <w:sz w:val="20"/>
      <w:szCs w:val="20"/>
      <w:lang w:val="ro-MD"/>
    </w:rPr>
  </w:style>
  <w:style w:type="paragraph" w:styleId="SubiectComentariu">
    <w:name w:val="annotation subject"/>
    <w:basedOn w:val="Textcomentariu"/>
    <w:next w:val="Textcomentariu"/>
    <w:link w:val="SubiectComentariuCaracter"/>
    <w:uiPriority w:val="99"/>
    <w:semiHidden/>
    <w:unhideWhenUsed/>
    <w:rsid w:val="00407B30"/>
    <w:rPr>
      <w:b/>
      <w:bCs/>
    </w:rPr>
  </w:style>
  <w:style w:type="character" w:customStyle="1" w:styleId="SubiectComentariuCaracter">
    <w:name w:val="Subiect Comentariu Caracter"/>
    <w:basedOn w:val="TextcomentariuCaracter"/>
    <w:link w:val="SubiectComentariu"/>
    <w:uiPriority w:val="99"/>
    <w:semiHidden/>
    <w:rsid w:val="00407B30"/>
    <w:rPr>
      <w:b/>
      <w:bCs/>
      <w:sz w:val="20"/>
      <w:szCs w:val="20"/>
      <w:lang w:val="ro-MD"/>
    </w:rPr>
  </w:style>
  <w:style w:type="paragraph" w:styleId="TextnBalon">
    <w:name w:val="Balloon Text"/>
    <w:basedOn w:val="Normal"/>
    <w:link w:val="TextnBalonCaracter"/>
    <w:uiPriority w:val="99"/>
    <w:semiHidden/>
    <w:unhideWhenUsed/>
    <w:rsid w:val="00407B3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07B30"/>
    <w:rPr>
      <w:rFonts w:ascii="Segoe UI" w:hAnsi="Segoe UI" w:cs="Segoe UI"/>
      <w:sz w:val="18"/>
      <w:szCs w:val="18"/>
      <w:lang w:val="ro-MD"/>
    </w:rPr>
  </w:style>
  <w:style w:type="character" w:styleId="Robust">
    <w:name w:val="Strong"/>
    <w:basedOn w:val="Fontdeparagrafimplicit"/>
    <w:uiPriority w:val="22"/>
    <w:qFormat/>
    <w:rsid w:val="00C857E5"/>
    <w:rPr>
      <w:b/>
      <w:bCs/>
    </w:rPr>
  </w:style>
  <w:style w:type="character" w:customStyle="1" w:styleId="Titlu3Caracter">
    <w:name w:val="Titlu 3 Caracter"/>
    <w:basedOn w:val="Fontdeparagrafimplicit"/>
    <w:link w:val="Titlu3"/>
    <w:uiPriority w:val="9"/>
    <w:rsid w:val="0093511D"/>
    <w:rPr>
      <w:rFonts w:ascii="Times New Roman" w:eastAsia="Times New Roman" w:hAnsi="Times New Roman" w:cs="Times New Roman"/>
      <w:b/>
      <w:bCs/>
      <w:sz w:val="27"/>
      <w:szCs w:val="27"/>
      <w:lang w:eastAsia="ro-RO"/>
    </w:rPr>
  </w:style>
  <w:style w:type="paragraph" w:styleId="Antet">
    <w:name w:val="header"/>
    <w:basedOn w:val="Normal"/>
    <w:link w:val="AntetCaracter"/>
    <w:uiPriority w:val="99"/>
    <w:unhideWhenUsed/>
    <w:rsid w:val="00063A1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63A15"/>
    <w:rPr>
      <w:lang w:val="ro-MD"/>
    </w:rPr>
  </w:style>
  <w:style w:type="paragraph" w:styleId="Subsol">
    <w:name w:val="footer"/>
    <w:basedOn w:val="Normal"/>
    <w:link w:val="SubsolCaracter"/>
    <w:uiPriority w:val="99"/>
    <w:unhideWhenUsed/>
    <w:rsid w:val="00063A1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63A15"/>
    <w:rPr>
      <w:lang w:val="ro-MD"/>
    </w:rPr>
  </w:style>
  <w:style w:type="character" w:styleId="Accentuat">
    <w:name w:val="Emphasis"/>
    <w:basedOn w:val="Fontdeparagrafimplicit"/>
    <w:uiPriority w:val="20"/>
    <w:qFormat/>
    <w:rsid w:val="007D6850"/>
    <w:rPr>
      <w:i/>
      <w:iCs/>
    </w:rPr>
  </w:style>
  <w:style w:type="paragraph" w:customStyle="1" w:styleId="norm">
    <w:name w:val="norm"/>
    <w:basedOn w:val="Normal"/>
    <w:rsid w:val="00E6189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Revizuire">
    <w:name w:val="Revision"/>
    <w:hidden/>
    <w:uiPriority w:val="99"/>
    <w:semiHidden/>
    <w:rsid w:val="00D90501"/>
    <w:pPr>
      <w:spacing w:after="0" w:line="240" w:lineRule="auto"/>
    </w:pPr>
    <w:rPr>
      <w:lang w:val="ro-MD"/>
    </w:rPr>
  </w:style>
  <w:style w:type="table" w:styleId="Tabelgril">
    <w:name w:val="Table Grid"/>
    <w:basedOn w:val="TabelNormal"/>
    <w:uiPriority w:val="39"/>
    <w:rsid w:val="008E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Fontdeparagrafimplicit"/>
    <w:rsid w:val="005D286B"/>
  </w:style>
  <w:style w:type="character" w:customStyle="1" w:styleId="spctbdy">
    <w:name w:val="s_pct_bdy"/>
    <w:basedOn w:val="Fontdeparagrafimplicit"/>
    <w:rsid w:val="008C3596"/>
  </w:style>
  <w:style w:type="character" w:customStyle="1" w:styleId="spar">
    <w:name w:val="s_par"/>
    <w:basedOn w:val="Fontdeparagrafimplicit"/>
    <w:rsid w:val="008C3596"/>
  </w:style>
  <w:style w:type="character" w:customStyle="1" w:styleId="whitespace-normal">
    <w:name w:val="whitespace-normal"/>
    <w:basedOn w:val="Fontdeparagrafimplicit"/>
    <w:rsid w:val="00867E77"/>
  </w:style>
  <w:style w:type="paragraph" w:styleId="Titlu">
    <w:name w:val="Title"/>
    <w:aliases w:val="Articol"/>
    <w:basedOn w:val="Titlu4"/>
    <w:next w:val="Normal"/>
    <w:link w:val="TitluCaracter"/>
    <w:uiPriority w:val="10"/>
    <w:qFormat/>
    <w:rsid w:val="003103B3"/>
    <w:pPr>
      <w:spacing w:before="0" w:line="240" w:lineRule="auto"/>
    </w:pPr>
    <w:rPr>
      <w:rFonts w:ascii="Times New Roman" w:hAnsi="Times New Roman"/>
      <w:b/>
      <w:i w:val="0"/>
      <w:color w:val="auto"/>
      <w:sz w:val="24"/>
      <w:szCs w:val="56"/>
      <w:lang w:val="en-US"/>
    </w:rPr>
  </w:style>
  <w:style w:type="character" w:customStyle="1" w:styleId="TitluCaracter">
    <w:name w:val="Titlu Caracter"/>
    <w:aliases w:val="Articol Caracter"/>
    <w:basedOn w:val="Fontdeparagrafimplicit"/>
    <w:link w:val="Titlu"/>
    <w:uiPriority w:val="10"/>
    <w:rsid w:val="003103B3"/>
    <w:rPr>
      <w:rFonts w:ascii="Times New Roman" w:eastAsiaTheme="majorEastAsia" w:hAnsi="Times New Roman" w:cstheme="majorBidi"/>
      <w:b/>
      <w:iCs/>
      <w:sz w:val="24"/>
      <w:szCs w:val="56"/>
      <w:lang w:val="en-US"/>
    </w:rPr>
  </w:style>
  <w:style w:type="character" w:customStyle="1" w:styleId="Titlu4Caracter">
    <w:name w:val="Titlu 4 Caracter"/>
    <w:basedOn w:val="Fontdeparagrafimplicit"/>
    <w:link w:val="Titlu4"/>
    <w:uiPriority w:val="9"/>
    <w:semiHidden/>
    <w:rsid w:val="003103B3"/>
    <w:rPr>
      <w:rFonts w:asciiTheme="majorHAnsi" w:eastAsiaTheme="majorEastAsia" w:hAnsiTheme="majorHAnsi" w:cstheme="majorBidi"/>
      <w:i/>
      <w:iCs/>
      <w:color w:val="2E74B5" w:themeColor="accent1" w:themeShade="BF"/>
      <w:lang w:val="ro-MD"/>
    </w:rPr>
  </w:style>
  <w:style w:type="paragraph" w:customStyle="1" w:styleId="oj-normal">
    <w:name w:val="oj-normal"/>
    <w:basedOn w:val="Normal"/>
    <w:rsid w:val="005B5A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p">
    <w:name w:val="cp"/>
    <w:basedOn w:val="Normal"/>
    <w:rsid w:val="007E32B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MeniuneNerezolvat1">
    <w:name w:val="Mențiune Nerezolvat1"/>
    <w:basedOn w:val="Fontdeparagrafimplicit"/>
    <w:uiPriority w:val="99"/>
    <w:semiHidden/>
    <w:unhideWhenUsed/>
    <w:rsid w:val="00B05109"/>
    <w:rPr>
      <w:color w:val="605E5C"/>
      <w:shd w:val="clear" w:color="auto" w:fill="E1DFDD"/>
    </w:rPr>
  </w:style>
  <w:style w:type="character" w:styleId="HyperlinkParcurs">
    <w:name w:val="FollowedHyperlink"/>
    <w:basedOn w:val="Fontdeparagrafimplicit"/>
    <w:uiPriority w:val="99"/>
    <w:semiHidden/>
    <w:unhideWhenUsed/>
    <w:rsid w:val="00403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0031">
      <w:bodyDiv w:val="1"/>
      <w:marLeft w:val="0"/>
      <w:marRight w:val="0"/>
      <w:marTop w:val="0"/>
      <w:marBottom w:val="0"/>
      <w:divBdr>
        <w:top w:val="none" w:sz="0" w:space="0" w:color="auto"/>
        <w:left w:val="none" w:sz="0" w:space="0" w:color="auto"/>
        <w:bottom w:val="none" w:sz="0" w:space="0" w:color="auto"/>
        <w:right w:val="none" w:sz="0" w:space="0" w:color="auto"/>
      </w:divBdr>
      <w:divsChild>
        <w:div w:id="396317362">
          <w:marLeft w:val="0"/>
          <w:marRight w:val="0"/>
          <w:marTop w:val="0"/>
          <w:marBottom w:val="0"/>
          <w:divBdr>
            <w:top w:val="none" w:sz="0" w:space="0" w:color="auto"/>
            <w:left w:val="none" w:sz="0" w:space="0" w:color="auto"/>
            <w:bottom w:val="none" w:sz="0" w:space="0" w:color="auto"/>
            <w:right w:val="none" w:sz="0" w:space="0" w:color="auto"/>
          </w:divBdr>
        </w:div>
      </w:divsChild>
    </w:div>
    <w:div w:id="102965452">
      <w:bodyDiv w:val="1"/>
      <w:marLeft w:val="0"/>
      <w:marRight w:val="0"/>
      <w:marTop w:val="0"/>
      <w:marBottom w:val="0"/>
      <w:divBdr>
        <w:top w:val="none" w:sz="0" w:space="0" w:color="auto"/>
        <w:left w:val="none" w:sz="0" w:space="0" w:color="auto"/>
        <w:bottom w:val="none" w:sz="0" w:space="0" w:color="auto"/>
        <w:right w:val="none" w:sz="0" w:space="0" w:color="auto"/>
      </w:divBdr>
    </w:div>
    <w:div w:id="111364197">
      <w:bodyDiv w:val="1"/>
      <w:marLeft w:val="0"/>
      <w:marRight w:val="0"/>
      <w:marTop w:val="0"/>
      <w:marBottom w:val="0"/>
      <w:divBdr>
        <w:top w:val="none" w:sz="0" w:space="0" w:color="auto"/>
        <w:left w:val="none" w:sz="0" w:space="0" w:color="auto"/>
        <w:bottom w:val="none" w:sz="0" w:space="0" w:color="auto"/>
        <w:right w:val="none" w:sz="0" w:space="0" w:color="auto"/>
      </w:divBdr>
    </w:div>
    <w:div w:id="116486775">
      <w:bodyDiv w:val="1"/>
      <w:marLeft w:val="0"/>
      <w:marRight w:val="0"/>
      <w:marTop w:val="0"/>
      <w:marBottom w:val="0"/>
      <w:divBdr>
        <w:top w:val="none" w:sz="0" w:space="0" w:color="auto"/>
        <w:left w:val="none" w:sz="0" w:space="0" w:color="auto"/>
        <w:bottom w:val="none" w:sz="0" w:space="0" w:color="auto"/>
        <w:right w:val="none" w:sz="0" w:space="0" w:color="auto"/>
      </w:divBdr>
    </w:div>
    <w:div w:id="202326662">
      <w:bodyDiv w:val="1"/>
      <w:marLeft w:val="0"/>
      <w:marRight w:val="0"/>
      <w:marTop w:val="0"/>
      <w:marBottom w:val="0"/>
      <w:divBdr>
        <w:top w:val="none" w:sz="0" w:space="0" w:color="auto"/>
        <w:left w:val="none" w:sz="0" w:space="0" w:color="auto"/>
        <w:bottom w:val="none" w:sz="0" w:space="0" w:color="auto"/>
        <w:right w:val="none" w:sz="0" w:space="0" w:color="auto"/>
      </w:divBdr>
      <w:divsChild>
        <w:div w:id="1871455181">
          <w:marLeft w:val="0"/>
          <w:marRight w:val="0"/>
          <w:marTop w:val="0"/>
          <w:marBottom w:val="0"/>
          <w:divBdr>
            <w:top w:val="none" w:sz="0" w:space="0" w:color="auto"/>
            <w:left w:val="none" w:sz="0" w:space="0" w:color="auto"/>
            <w:bottom w:val="none" w:sz="0" w:space="0" w:color="auto"/>
            <w:right w:val="none" w:sz="0" w:space="0" w:color="auto"/>
          </w:divBdr>
        </w:div>
      </w:divsChild>
    </w:div>
    <w:div w:id="222377810">
      <w:bodyDiv w:val="1"/>
      <w:marLeft w:val="0"/>
      <w:marRight w:val="0"/>
      <w:marTop w:val="0"/>
      <w:marBottom w:val="0"/>
      <w:divBdr>
        <w:top w:val="none" w:sz="0" w:space="0" w:color="auto"/>
        <w:left w:val="none" w:sz="0" w:space="0" w:color="auto"/>
        <w:bottom w:val="none" w:sz="0" w:space="0" w:color="auto"/>
        <w:right w:val="none" w:sz="0" w:space="0" w:color="auto"/>
      </w:divBdr>
    </w:div>
    <w:div w:id="278876416">
      <w:bodyDiv w:val="1"/>
      <w:marLeft w:val="0"/>
      <w:marRight w:val="0"/>
      <w:marTop w:val="0"/>
      <w:marBottom w:val="0"/>
      <w:divBdr>
        <w:top w:val="none" w:sz="0" w:space="0" w:color="auto"/>
        <w:left w:val="none" w:sz="0" w:space="0" w:color="auto"/>
        <w:bottom w:val="none" w:sz="0" w:space="0" w:color="auto"/>
        <w:right w:val="none" w:sz="0" w:space="0" w:color="auto"/>
      </w:divBdr>
    </w:div>
    <w:div w:id="3117171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7">
          <w:marLeft w:val="0"/>
          <w:marRight w:val="0"/>
          <w:marTop w:val="0"/>
          <w:marBottom w:val="0"/>
          <w:divBdr>
            <w:top w:val="none" w:sz="0" w:space="0" w:color="auto"/>
            <w:left w:val="none" w:sz="0" w:space="0" w:color="auto"/>
            <w:bottom w:val="none" w:sz="0" w:space="0" w:color="auto"/>
            <w:right w:val="none" w:sz="0" w:space="0" w:color="auto"/>
          </w:divBdr>
        </w:div>
      </w:divsChild>
    </w:div>
    <w:div w:id="390353591">
      <w:bodyDiv w:val="1"/>
      <w:marLeft w:val="0"/>
      <w:marRight w:val="0"/>
      <w:marTop w:val="0"/>
      <w:marBottom w:val="0"/>
      <w:divBdr>
        <w:top w:val="none" w:sz="0" w:space="0" w:color="auto"/>
        <w:left w:val="none" w:sz="0" w:space="0" w:color="auto"/>
        <w:bottom w:val="none" w:sz="0" w:space="0" w:color="auto"/>
        <w:right w:val="none" w:sz="0" w:space="0" w:color="auto"/>
      </w:divBdr>
    </w:div>
    <w:div w:id="425033236">
      <w:bodyDiv w:val="1"/>
      <w:marLeft w:val="0"/>
      <w:marRight w:val="0"/>
      <w:marTop w:val="0"/>
      <w:marBottom w:val="0"/>
      <w:divBdr>
        <w:top w:val="none" w:sz="0" w:space="0" w:color="auto"/>
        <w:left w:val="none" w:sz="0" w:space="0" w:color="auto"/>
        <w:bottom w:val="none" w:sz="0" w:space="0" w:color="auto"/>
        <w:right w:val="none" w:sz="0" w:space="0" w:color="auto"/>
      </w:divBdr>
      <w:divsChild>
        <w:div w:id="1180702996">
          <w:marLeft w:val="0"/>
          <w:marRight w:val="0"/>
          <w:marTop w:val="0"/>
          <w:marBottom w:val="0"/>
          <w:divBdr>
            <w:top w:val="none" w:sz="0" w:space="0" w:color="auto"/>
            <w:left w:val="none" w:sz="0" w:space="0" w:color="auto"/>
            <w:bottom w:val="none" w:sz="0" w:space="0" w:color="auto"/>
            <w:right w:val="none" w:sz="0" w:space="0" w:color="auto"/>
          </w:divBdr>
        </w:div>
      </w:divsChild>
    </w:div>
    <w:div w:id="433599228">
      <w:bodyDiv w:val="1"/>
      <w:marLeft w:val="0"/>
      <w:marRight w:val="0"/>
      <w:marTop w:val="0"/>
      <w:marBottom w:val="0"/>
      <w:divBdr>
        <w:top w:val="none" w:sz="0" w:space="0" w:color="auto"/>
        <w:left w:val="none" w:sz="0" w:space="0" w:color="auto"/>
        <w:bottom w:val="none" w:sz="0" w:space="0" w:color="auto"/>
        <w:right w:val="none" w:sz="0" w:space="0" w:color="auto"/>
      </w:divBdr>
      <w:divsChild>
        <w:div w:id="523178393">
          <w:marLeft w:val="0"/>
          <w:marRight w:val="0"/>
          <w:marTop w:val="0"/>
          <w:marBottom w:val="0"/>
          <w:divBdr>
            <w:top w:val="none" w:sz="0" w:space="0" w:color="auto"/>
            <w:left w:val="none" w:sz="0" w:space="0" w:color="auto"/>
            <w:bottom w:val="none" w:sz="0" w:space="0" w:color="auto"/>
            <w:right w:val="none" w:sz="0" w:space="0" w:color="auto"/>
          </w:divBdr>
        </w:div>
      </w:divsChild>
    </w:div>
    <w:div w:id="476723681">
      <w:bodyDiv w:val="1"/>
      <w:marLeft w:val="0"/>
      <w:marRight w:val="0"/>
      <w:marTop w:val="0"/>
      <w:marBottom w:val="0"/>
      <w:divBdr>
        <w:top w:val="none" w:sz="0" w:space="0" w:color="auto"/>
        <w:left w:val="none" w:sz="0" w:space="0" w:color="auto"/>
        <w:bottom w:val="none" w:sz="0" w:space="0" w:color="auto"/>
        <w:right w:val="none" w:sz="0" w:space="0" w:color="auto"/>
      </w:divBdr>
    </w:div>
    <w:div w:id="486016011">
      <w:bodyDiv w:val="1"/>
      <w:marLeft w:val="0"/>
      <w:marRight w:val="0"/>
      <w:marTop w:val="0"/>
      <w:marBottom w:val="0"/>
      <w:divBdr>
        <w:top w:val="none" w:sz="0" w:space="0" w:color="auto"/>
        <w:left w:val="none" w:sz="0" w:space="0" w:color="auto"/>
        <w:bottom w:val="none" w:sz="0" w:space="0" w:color="auto"/>
        <w:right w:val="none" w:sz="0" w:space="0" w:color="auto"/>
      </w:divBdr>
      <w:divsChild>
        <w:div w:id="1154250598">
          <w:marLeft w:val="0"/>
          <w:marRight w:val="0"/>
          <w:marTop w:val="0"/>
          <w:marBottom w:val="0"/>
          <w:divBdr>
            <w:top w:val="none" w:sz="0" w:space="0" w:color="auto"/>
            <w:left w:val="none" w:sz="0" w:space="0" w:color="auto"/>
            <w:bottom w:val="none" w:sz="0" w:space="0" w:color="auto"/>
            <w:right w:val="none" w:sz="0" w:space="0" w:color="auto"/>
          </w:divBdr>
        </w:div>
      </w:divsChild>
    </w:div>
    <w:div w:id="544412668">
      <w:bodyDiv w:val="1"/>
      <w:marLeft w:val="0"/>
      <w:marRight w:val="0"/>
      <w:marTop w:val="0"/>
      <w:marBottom w:val="0"/>
      <w:divBdr>
        <w:top w:val="none" w:sz="0" w:space="0" w:color="auto"/>
        <w:left w:val="none" w:sz="0" w:space="0" w:color="auto"/>
        <w:bottom w:val="none" w:sz="0" w:space="0" w:color="auto"/>
        <w:right w:val="none" w:sz="0" w:space="0" w:color="auto"/>
      </w:divBdr>
    </w:div>
    <w:div w:id="602808623">
      <w:bodyDiv w:val="1"/>
      <w:marLeft w:val="0"/>
      <w:marRight w:val="0"/>
      <w:marTop w:val="0"/>
      <w:marBottom w:val="0"/>
      <w:divBdr>
        <w:top w:val="none" w:sz="0" w:space="0" w:color="auto"/>
        <w:left w:val="none" w:sz="0" w:space="0" w:color="auto"/>
        <w:bottom w:val="none" w:sz="0" w:space="0" w:color="auto"/>
        <w:right w:val="none" w:sz="0" w:space="0" w:color="auto"/>
      </w:divBdr>
    </w:div>
    <w:div w:id="608782816">
      <w:bodyDiv w:val="1"/>
      <w:marLeft w:val="0"/>
      <w:marRight w:val="0"/>
      <w:marTop w:val="0"/>
      <w:marBottom w:val="0"/>
      <w:divBdr>
        <w:top w:val="none" w:sz="0" w:space="0" w:color="auto"/>
        <w:left w:val="none" w:sz="0" w:space="0" w:color="auto"/>
        <w:bottom w:val="none" w:sz="0" w:space="0" w:color="auto"/>
        <w:right w:val="none" w:sz="0" w:space="0" w:color="auto"/>
      </w:divBdr>
    </w:div>
    <w:div w:id="687877337">
      <w:bodyDiv w:val="1"/>
      <w:marLeft w:val="0"/>
      <w:marRight w:val="0"/>
      <w:marTop w:val="0"/>
      <w:marBottom w:val="0"/>
      <w:divBdr>
        <w:top w:val="none" w:sz="0" w:space="0" w:color="auto"/>
        <w:left w:val="none" w:sz="0" w:space="0" w:color="auto"/>
        <w:bottom w:val="none" w:sz="0" w:space="0" w:color="auto"/>
        <w:right w:val="none" w:sz="0" w:space="0" w:color="auto"/>
      </w:divBdr>
      <w:divsChild>
        <w:div w:id="1637640884">
          <w:marLeft w:val="0"/>
          <w:marRight w:val="0"/>
          <w:marTop w:val="0"/>
          <w:marBottom w:val="0"/>
          <w:divBdr>
            <w:top w:val="none" w:sz="0" w:space="0" w:color="auto"/>
            <w:left w:val="none" w:sz="0" w:space="0" w:color="auto"/>
            <w:bottom w:val="none" w:sz="0" w:space="0" w:color="auto"/>
            <w:right w:val="none" w:sz="0" w:space="0" w:color="auto"/>
          </w:divBdr>
        </w:div>
      </w:divsChild>
    </w:div>
    <w:div w:id="1164054711">
      <w:bodyDiv w:val="1"/>
      <w:marLeft w:val="0"/>
      <w:marRight w:val="0"/>
      <w:marTop w:val="0"/>
      <w:marBottom w:val="0"/>
      <w:divBdr>
        <w:top w:val="none" w:sz="0" w:space="0" w:color="auto"/>
        <w:left w:val="none" w:sz="0" w:space="0" w:color="auto"/>
        <w:bottom w:val="none" w:sz="0" w:space="0" w:color="auto"/>
        <w:right w:val="none" w:sz="0" w:space="0" w:color="auto"/>
      </w:divBdr>
    </w:div>
    <w:div w:id="1246956959">
      <w:bodyDiv w:val="1"/>
      <w:marLeft w:val="0"/>
      <w:marRight w:val="0"/>
      <w:marTop w:val="0"/>
      <w:marBottom w:val="0"/>
      <w:divBdr>
        <w:top w:val="none" w:sz="0" w:space="0" w:color="auto"/>
        <w:left w:val="none" w:sz="0" w:space="0" w:color="auto"/>
        <w:bottom w:val="none" w:sz="0" w:space="0" w:color="auto"/>
        <w:right w:val="none" w:sz="0" w:space="0" w:color="auto"/>
      </w:divBdr>
    </w:div>
    <w:div w:id="1258827912">
      <w:bodyDiv w:val="1"/>
      <w:marLeft w:val="0"/>
      <w:marRight w:val="0"/>
      <w:marTop w:val="0"/>
      <w:marBottom w:val="0"/>
      <w:divBdr>
        <w:top w:val="none" w:sz="0" w:space="0" w:color="auto"/>
        <w:left w:val="none" w:sz="0" w:space="0" w:color="auto"/>
        <w:bottom w:val="none" w:sz="0" w:space="0" w:color="auto"/>
        <w:right w:val="none" w:sz="0" w:space="0" w:color="auto"/>
      </w:divBdr>
    </w:div>
    <w:div w:id="1317487811">
      <w:bodyDiv w:val="1"/>
      <w:marLeft w:val="0"/>
      <w:marRight w:val="0"/>
      <w:marTop w:val="0"/>
      <w:marBottom w:val="0"/>
      <w:divBdr>
        <w:top w:val="none" w:sz="0" w:space="0" w:color="auto"/>
        <w:left w:val="none" w:sz="0" w:space="0" w:color="auto"/>
        <w:bottom w:val="none" w:sz="0" w:space="0" w:color="auto"/>
        <w:right w:val="none" w:sz="0" w:space="0" w:color="auto"/>
      </w:divBdr>
      <w:divsChild>
        <w:div w:id="124784603">
          <w:marLeft w:val="0"/>
          <w:marRight w:val="0"/>
          <w:marTop w:val="0"/>
          <w:marBottom w:val="0"/>
          <w:divBdr>
            <w:top w:val="none" w:sz="0" w:space="0" w:color="auto"/>
            <w:left w:val="none" w:sz="0" w:space="0" w:color="auto"/>
            <w:bottom w:val="none" w:sz="0" w:space="0" w:color="auto"/>
            <w:right w:val="none" w:sz="0" w:space="0" w:color="auto"/>
          </w:divBdr>
          <w:divsChild>
            <w:div w:id="536236535">
              <w:marLeft w:val="0"/>
              <w:marRight w:val="0"/>
              <w:marTop w:val="0"/>
              <w:marBottom w:val="0"/>
              <w:divBdr>
                <w:top w:val="none" w:sz="0" w:space="0" w:color="auto"/>
                <w:left w:val="none" w:sz="0" w:space="0" w:color="auto"/>
                <w:bottom w:val="none" w:sz="0" w:space="0" w:color="auto"/>
                <w:right w:val="none" w:sz="0" w:space="0" w:color="auto"/>
              </w:divBdr>
            </w:div>
            <w:div w:id="1767073573">
              <w:marLeft w:val="0"/>
              <w:marRight w:val="0"/>
              <w:marTop w:val="120"/>
              <w:marBottom w:val="0"/>
              <w:divBdr>
                <w:top w:val="none" w:sz="0" w:space="0" w:color="auto"/>
                <w:left w:val="none" w:sz="0" w:space="0" w:color="auto"/>
                <w:bottom w:val="none" w:sz="0" w:space="0" w:color="auto"/>
                <w:right w:val="none" w:sz="0" w:space="0" w:color="auto"/>
              </w:divBdr>
            </w:div>
          </w:divsChild>
        </w:div>
        <w:div w:id="184104389">
          <w:marLeft w:val="0"/>
          <w:marRight w:val="0"/>
          <w:marTop w:val="0"/>
          <w:marBottom w:val="0"/>
          <w:divBdr>
            <w:top w:val="none" w:sz="0" w:space="0" w:color="auto"/>
            <w:left w:val="none" w:sz="0" w:space="0" w:color="auto"/>
            <w:bottom w:val="none" w:sz="0" w:space="0" w:color="auto"/>
            <w:right w:val="none" w:sz="0" w:space="0" w:color="auto"/>
          </w:divBdr>
          <w:divsChild>
            <w:div w:id="566112393">
              <w:marLeft w:val="0"/>
              <w:marRight w:val="0"/>
              <w:marTop w:val="0"/>
              <w:marBottom w:val="0"/>
              <w:divBdr>
                <w:top w:val="none" w:sz="0" w:space="0" w:color="auto"/>
                <w:left w:val="none" w:sz="0" w:space="0" w:color="auto"/>
                <w:bottom w:val="none" w:sz="0" w:space="0" w:color="auto"/>
                <w:right w:val="none" w:sz="0" w:space="0" w:color="auto"/>
              </w:divBdr>
            </w:div>
            <w:div w:id="1745956134">
              <w:marLeft w:val="0"/>
              <w:marRight w:val="0"/>
              <w:marTop w:val="120"/>
              <w:marBottom w:val="0"/>
              <w:divBdr>
                <w:top w:val="none" w:sz="0" w:space="0" w:color="auto"/>
                <w:left w:val="none" w:sz="0" w:space="0" w:color="auto"/>
                <w:bottom w:val="none" w:sz="0" w:space="0" w:color="auto"/>
                <w:right w:val="none" w:sz="0" w:space="0" w:color="auto"/>
              </w:divBdr>
            </w:div>
          </w:divsChild>
        </w:div>
        <w:div w:id="1272516785">
          <w:marLeft w:val="0"/>
          <w:marRight w:val="0"/>
          <w:marTop w:val="0"/>
          <w:marBottom w:val="0"/>
          <w:divBdr>
            <w:top w:val="none" w:sz="0" w:space="0" w:color="auto"/>
            <w:left w:val="none" w:sz="0" w:space="0" w:color="auto"/>
            <w:bottom w:val="none" w:sz="0" w:space="0" w:color="auto"/>
            <w:right w:val="none" w:sz="0" w:space="0" w:color="auto"/>
          </w:divBdr>
          <w:divsChild>
            <w:div w:id="1189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3061">
      <w:bodyDiv w:val="1"/>
      <w:marLeft w:val="0"/>
      <w:marRight w:val="0"/>
      <w:marTop w:val="0"/>
      <w:marBottom w:val="0"/>
      <w:divBdr>
        <w:top w:val="none" w:sz="0" w:space="0" w:color="auto"/>
        <w:left w:val="none" w:sz="0" w:space="0" w:color="auto"/>
        <w:bottom w:val="none" w:sz="0" w:space="0" w:color="auto"/>
        <w:right w:val="none" w:sz="0" w:space="0" w:color="auto"/>
      </w:divBdr>
    </w:div>
    <w:div w:id="1436287019">
      <w:bodyDiv w:val="1"/>
      <w:marLeft w:val="0"/>
      <w:marRight w:val="0"/>
      <w:marTop w:val="0"/>
      <w:marBottom w:val="0"/>
      <w:divBdr>
        <w:top w:val="none" w:sz="0" w:space="0" w:color="auto"/>
        <w:left w:val="none" w:sz="0" w:space="0" w:color="auto"/>
        <w:bottom w:val="none" w:sz="0" w:space="0" w:color="auto"/>
        <w:right w:val="none" w:sz="0" w:space="0" w:color="auto"/>
      </w:divBdr>
    </w:div>
    <w:div w:id="1468353179">
      <w:bodyDiv w:val="1"/>
      <w:marLeft w:val="0"/>
      <w:marRight w:val="0"/>
      <w:marTop w:val="0"/>
      <w:marBottom w:val="0"/>
      <w:divBdr>
        <w:top w:val="none" w:sz="0" w:space="0" w:color="auto"/>
        <w:left w:val="none" w:sz="0" w:space="0" w:color="auto"/>
        <w:bottom w:val="none" w:sz="0" w:space="0" w:color="auto"/>
        <w:right w:val="none" w:sz="0" w:space="0" w:color="auto"/>
      </w:divBdr>
      <w:divsChild>
        <w:div w:id="220479784">
          <w:marLeft w:val="0"/>
          <w:marRight w:val="0"/>
          <w:marTop w:val="0"/>
          <w:marBottom w:val="0"/>
          <w:divBdr>
            <w:top w:val="none" w:sz="0" w:space="0" w:color="auto"/>
            <w:left w:val="none" w:sz="0" w:space="0" w:color="auto"/>
            <w:bottom w:val="none" w:sz="0" w:space="0" w:color="auto"/>
            <w:right w:val="none" w:sz="0" w:space="0" w:color="auto"/>
          </w:divBdr>
          <w:divsChild>
            <w:div w:id="680813250">
              <w:marLeft w:val="0"/>
              <w:marRight w:val="0"/>
              <w:marTop w:val="120"/>
              <w:marBottom w:val="0"/>
              <w:divBdr>
                <w:top w:val="none" w:sz="0" w:space="0" w:color="auto"/>
                <w:left w:val="none" w:sz="0" w:space="0" w:color="auto"/>
                <w:bottom w:val="none" w:sz="0" w:space="0" w:color="auto"/>
                <w:right w:val="none" w:sz="0" w:space="0" w:color="auto"/>
              </w:divBdr>
            </w:div>
            <w:div w:id="1300771503">
              <w:marLeft w:val="0"/>
              <w:marRight w:val="0"/>
              <w:marTop w:val="0"/>
              <w:marBottom w:val="0"/>
              <w:divBdr>
                <w:top w:val="none" w:sz="0" w:space="0" w:color="auto"/>
                <w:left w:val="none" w:sz="0" w:space="0" w:color="auto"/>
                <w:bottom w:val="none" w:sz="0" w:space="0" w:color="auto"/>
                <w:right w:val="none" w:sz="0" w:space="0" w:color="auto"/>
              </w:divBdr>
            </w:div>
          </w:divsChild>
        </w:div>
        <w:div w:id="1662152494">
          <w:marLeft w:val="0"/>
          <w:marRight w:val="0"/>
          <w:marTop w:val="0"/>
          <w:marBottom w:val="0"/>
          <w:divBdr>
            <w:top w:val="none" w:sz="0" w:space="0" w:color="auto"/>
            <w:left w:val="none" w:sz="0" w:space="0" w:color="auto"/>
            <w:bottom w:val="none" w:sz="0" w:space="0" w:color="auto"/>
            <w:right w:val="none" w:sz="0" w:space="0" w:color="auto"/>
          </w:divBdr>
          <w:divsChild>
            <w:div w:id="529731067">
              <w:marLeft w:val="0"/>
              <w:marRight w:val="0"/>
              <w:marTop w:val="120"/>
              <w:marBottom w:val="0"/>
              <w:divBdr>
                <w:top w:val="none" w:sz="0" w:space="0" w:color="auto"/>
                <w:left w:val="none" w:sz="0" w:space="0" w:color="auto"/>
                <w:bottom w:val="none" w:sz="0" w:space="0" w:color="auto"/>
                <w:right w:val="none" w:sz="0" w:space="0" w:color="auto"/>
              </w:divBdr>
            </w:div>
            <w:div w:id="1822110392">
              <w:marLeft w:val="0"/>
              <w:marRight w:val="0"/>
              <w:marTop w:val="0"/>
              <w:marBottom w:val="0"/>
              <w:divBdr>
                <w:top w:val="none" w:sz="0" w:space="0" w:color="auto"/>
                <w:left w:val="none" w:sz="0" w:space="0" w:color="auto"/>
                <w:bottom w:val="none" w:sz="0" w:space="0" w:color="auto"/>
                <w:right w:val="none" w:sz="0" w:space="0" w:color="auto"/>
              </w:divBdr>
            </w:div>
          </w:divsChild>
        </w:div>
        <w:div w:id="1721781998">
          <w:marLeft w:val="0"/>
          <w:marRight w:val="0"/>
          <w:marTop w:val="0"/>
          <w:marBottom w:val="0"/>
          <w:divBdr>
            <w:top w:val="none" w:sz="0" w:space="0" w:color="auto"/>
            <w:left w:val="none" w:sz="0" w:space="0" w:color="auto"/>
            <w:bottom w:val="none" w:sz="0" w:space="0" w:color="auto"/>
            <w:right w:val="none" w:sz="0" w:space="0" w:color="auto"/>
          </w:divBdr>
          <w:divsChild>
            <w:div w:id="604310051">
              <w:marLeft w:val="0"/>
              <w:marRight w:val="0"/>
              <w:marTop w:val="0"/>
              <w:marBottom w:val="0"/>
              <w:divBdr>
                <w:top w:val="none" w:sz="0" w:space="0" w:color="auto"/>
                <w:left w:val="none" w:sz="0" w:space="0" w:color="auto"/>
                <w:bottom w:val="none" w:sz="0" w:space="0" w:color="auto"/>
                <w:right w:val="none" w:sz="0" w:space="0" w:color="auto"/>
              </w:divBdr>
            </w:div>
            <w:div w:id="6442382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9680551">
      <w:bodyDiv w:val="1"/>
      <w:marLeft w:val="0"/>
      <w:marRight w:val="0"/>
      <w:marTop w:val="0"/>
      <w:marBottom w:val="0"/>
      <w:divBdr>
        <w:top w:val="none" w:sz="0" w:space="0" w:color="auto"/>
        <w:left w:val="none" w:sz="0" w:space="0" w:color="auto"/>
        <w:bottom w:val="none" w:sz="0" w:space="0" w:color="auto"/>
        <w:right w:val="none" w:sz="0" w:space="0" w:color="auto"/>
      </w:divBdr>
    </w:div>
    <w:div w:id="1576934181">
      <w:bodyDiv w:val="1"/>
      <w:marLeft w:val="0"/>
      <w:marRight w:val="0"/>
      <w:marTop w:val="0"/>
      <w:marBottom w:val="0"/>
      <w:divBdr>
        <w:top w:val="none" w:sz="0" w:space="0" w:color="auto"/>
        <w:left w:val="none" w:sz="0" w:space="0" w:color="auto"/>
        <w:bottom w:val="none" w:sz="0" w:space="0" w:color="auto"/>
        <w:right w:val="none" w:sz="0" w:space="0" w:color="auto"/>
      </w:divBdr>
    </w:div>
    <w:div w:id="1663894406">
      <w:bodyDiv w:val="1"/>
      <w:marLeft w:val="0"/>
      <w:marRight w:val="0"/>
      <w:marTop w:val="0"/>
      <w:marBottom w:val="0"/>
      <w:divBdr>
        <w:top w:val="none" w:sz="0" w:space="0" w:color="auto"/>
        <w:left w:val="none" w:sz="0" w:space="0" w:color="auto"/>
        <w:bottom w:val="none" w:sz="0" w:space="0" w:color="auto"/>
        <w:right w:val="none" w:sz="0" w:space="0" w:color="auto"/>
      </w:divBdr>
    </w:div>
    <w:div w:id="1719091738">
      <w:bodyDiv w:val="1"/>
      <w:marLeft w:val="0"/>
      <w:marRight w:val="0"/>
      <w:marTop w:val="0"/>
      <w:marBottom w:val="0"/>
      <w:divBdr>
        <w:top w:val="none" w:sz="0" w:space="0" w:color="auto"/>
        <w:left w:val="none" w:sz="0" w:space="0" w:color="auto"/>
        <w:bottom w:val="none" w:sz="0" w:space="0" w:color="auto"/>
        <w:right w:val="none" w:sz="0" w:space="0" w:color="auto"/>
      </w:divBdr>
      <w:divsChild>
        <w:div w:id="787160866">
          <w:marLeft w:val="0"/>
          <w:marRight w:val="0"/>
          <w:marTop w:val="0"/>
          <w:marBottom w:val="0"/>
          <w:divBdr>
            <w:top w:val="none" w:sz="0" w:space="0" w:color="auto"/>
            <w:left w:val="none" w:sz="0" w:space="0" w:color="auto"/>
            <w:bottom w:val="none" w:sz="0" w:space="0" w:color="auto"/>
            <w:right w:val="none" w:sz="0" w:space="0" w:color="auto"/>
          </w:divBdr>
        </w:div>
      </w:divsChild>
    </w:div>
    <w:div w:id="1767143722">
      <w:bodyDiv w:val="1"/>
      <w:marLeft w:val="0"/>
      <w:marRight w:val="0"/>
      <w:marTop w:val="0"/>
      <w:marBottom w:val="0"/>
      <w:divBdr>
        <w:top w:val="none" w:sz="0" w:space="0" w:color="auto"/>
        <w:left w:val="none" w:sz="0" w:space="0" w:color="auto"/>
        <w:bottom w:val="none" w:sz="0" w:space="0" w:color="auto"/>
        <w:right w:val="none" w:sz="0" w:space="0" w:color="auto"/>
      </w:divBdr>
      <w:divsChild>
        <w:div w:id="2072649563">
          <w:marLeft w:val="0"/>
          <w:marRight w:val="0"/>
          <w:marTop w:val="0"/>
          <w:marBottom w:val="0"/>
          <w:divBdr>
            <w:top w:val="none" w:sz="0" w:space="0" w:color="auto"/>
            <w:left w:val="none" w:sz="0" w:space="0" w:color="auto"/>
            <w:bottom w:val="none" w:sz="0" w:space="0" w:color="auto"/>
            <w:right w:val="none" w:sz="0" w:space="0" w:color="auto"/>
          </w:divBdr>
        </w:div>
      </w:divsChild>
    </w:div>
    <w:div w:id="1837917304">
      <w:bodyDiv w:val="1"/>
      <w:marLeft w:val="0"/>
      <w:marRight w:val="0"/>
      <w:marTop w:val="0"/>
      <w:marBottom w:val="0"/>
      <w:divBdr>
        <w:top w:val="none" w:sz="0" w:space="0" w:color="auto"/>
        <w:left w:val="none" w:sz="0" w:space="0" w:color="auto"/>
        <w:bottom w:val="none" w:sz="0" w:space="0" w:color="auto"/>
        <w:right w:val="none" w:sz="0" w:space="0" w:color="auto"/>
      </w:divBdr>
    </w:div>
    <w:div w:id="1866091900">
      <w:bodyDiv w:val="1"/>
      <w:marLeft w:val="0"/>
      <w:marRight w:val="0"/>
      <w:marTop w:val="0"/>
      <w:marBottom w:val="0"/>
      <w:divBdr>
        <w:top w:val="none" w:sz="0" w:space="0" w:color="auto"/>
        <w:left w:val="none" w:sz="0" w:space="0" w:color="auto"/>
        <w:bottom w:val="none" w:sz="0" w:space="0" w:color="auto"/>
        <w:right w:val="none" w:sz="0" w:space="0" w:color="auto"/>
      </w:divBdr>
      <w:divsChild>
        <w:div w:id="51118560">
          <w:marLeft w:val="0"/>
          <w:marRight w:val="0"/>
          <w:marTop w:val="0"/>
          <w:marBottom w:val="0"/>
          <w:divBdr>
            <w:top w:val="none" w:sz="0" w:space="0" w:color="auto"/>
            <w:left w:val="none" w:sz="0" w:space="0" w:color="auto"/>
            <w:bottom w:val="none" w:sz="0" w:space="0" w:color="auto"/>
            <w:right w:val="none" w:sz="0" w:space="0" w:color="auto"/>
          </w:divBdr>
        </w:div>
      </w:divsChild>
    </w:div>
    <w:div w:id="1984382423">
      <w:bodyDiv w:val="1"/>
      <w:marLeft w:val="0"/>
      <w:marRight w:val="0"/>
      <w:marTop w:val="0"/>
      <w:marBottom w:val="0"/>
      <w:divBdr>
        <w:top w:val="none" w:sz="0" w:space="0" w:color="auto"/>
        <w:left w:val="none" w:sz="0" w:space="0" w:color="auto"/>
        <w:bottom w:val="none" w:sz="0" w:space="0" w:color="auto"/>
        <w:right w:val="none" w:sz="0" w:space="0" w:color="auto"/>
      </w:divBdr>
    </w:div>
    <w:div w:id="2009822250">
      <w:bodyDiv w:val="1"/>
      <w:marLeft w:val="0"/>
      <w:marRight w:val="0"/>
      <w:marTop w:val="0"/>
      <w:marBottom w:val="0"/>
      <w:divBdr>
        <w:top w:val="none" w:sz="0" w:space="0" w:color="auto"/>
        <w:left w:val="none" w:sz="0" w:space="0" w:color="auto"/>
        <w:bottom w:val="none" w:sz="0" w:space="0" w:color="auto"/>
        <w:right w:val="none" w:sz="0" w:space="0" w:color="auto"/>
      </w:divBdr>
    </w:div>
    <w:div w:id="2068138130">
      <w:bodyDiv w:val="1"/>
      <w:marLeft w:val="0"/>
      <w:marRight w:val="0"/>
      <w:marTop w:val="0"/>
      <w:marBottom w:val="0"/>
      <w:divBdr>
        <w:top w:val="none" w:sz="0" w:space="0" w:color="auto"/>
        <w:left w:val="none" w:sz="0" w:space="0" w:color="auto"/>
        <w:bottom w:val="none" w:sz="0" w:space="0" w:color="auto"/>
        <w:right w:val="none" w:sz="0" w:space="0" w:color="auto"/>
      </w:divBdr>
    </w:div>
    <w:div w:id="21099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1203900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f.gov.md/sites/default/files/Legea%20IFD%2020.05.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80C9-7CC6-42F5-AF19-E4D02E67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48</Pages>
  <Words>22720</Words>
  <Characters>129505</Characters>
  <Application>Microsoft Office Word</Application>
  <DocSecurity>0</DocSecurity>
  <Lines>1079</Lines>
  <Paragraphs>303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 Inc.</Company>
  <LinksUpToDate>false</LinksUpToDate>
  <CharactersWithSpaces>151922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Bratu Mariana</cp:lastModifiedBy>
  <cp:revision>8</cp:revision>
  <cp:lastPrinted>2026-03-16T07:08:00Z</cp:lastPrinted>
  <dcterms:created xsi:type="dcterms:W3CDTF">2026-06-25T20:05:00Z</dcterms:created>
  <dcterms:modified xsi:type="dcterms:W3CDTF">2026-06-26T08:53:00Z</dcterms:modified>
</cp:coreProperties>
</file>