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D73" w:rsidRPr="00922E6D" w:rsidRDefault="005D3D73" w:rsidP="00B34CD4">
      <w:pPr>
        <w:pStyle w:val="Corptext"/>
        <w:jc w:val="center"/>
        <w:rPr>
          <w:szCs w:val="28"/>
          <w:lang w:val="ro-MD"/>
        </w:rPr>
      </w:pPr>
      <w:r w:rsidRPr="00922E6D">
        <w:rPr>
          <w:szCs w:val="28"/>
          <w:lang w:val="ro-MD"/>
        </w:rPr>
        <w:t>NOTĂ INFORMATIVĂ</w:t>
      </w:r>
      <w:r w:rsidRPr="00922E6D">
        <w:rPr>
          <w:szCs w:val="28"/>
          <w:lang w:val="ro-MD"/>
        </w:rPr>
        <w:br/>
        <w:t xml:space="preserve">privind necesitatea elaborării proiectului de </w:t>
      </w:r>
      <w:r w:rsidR="00D8420D">
        <w:rPr>
          <w:szCs w:val="28"/>
          <w:lang w:val="ro-MD"/>
        </w:rPr>
        <w:t>h</w:t>
      </w:r>
      <w:r w:rsidR="006C390F" w:rsidRPr="00922E6D">
        <w:rPr>
          <w:szCs w:val="28"/>
          <w:lang w:val="ro-MD"/>
        </w:rPr>
        <w:t>otărâre</w:t>
      </w:r>
      <w:r w:rsidRPr="00922E6D">
        <w:rPr>
          <w:szCs w:val="28"/>
          <w:lang w:val="ro-MD"/>
        </w:rPr>
        <w:t xml:space="preserve"> de Guvern</w:t>
      </w:r>
    </w:p>
    <w:p w:rsidR="00B4389E" w:rsidRDefault="005D3D73" w:rsidP="005D3D73">
      <w:pPr>
        <w:shd w:val="clear" w:color="auto" w:fill="FFFFFF"/>
        <w:tabs>
          <w:tab w:val="left" w:pos="2093"/>
        </w:tabs>
        <w:spacing w:line="322" w:lineRule="exact"/>
        <w:ind w:left="1418" w:right="1555"/>
        <w:jc w:val="center"/>
        <w:rPr>
          <w:rFonts w:eastAsia="Calibri"/>
          <w:b/>
          <w:noProof/>
          <w:sz w:val="28"/>
          <w:szCs w:val="28"/>
          <w:lang w:val="ro-RO"/>
        </w:rPr>
      </w:pPr>
      <w:r w:rsidRPr="00922E6D">
        <w:rPr>
          <w:b/>
          <w:sz w:val="28"/>
          <w:szCs w:val="28"/>
          <w:lang w:val="ro-MD"/>
        </w:rPr>
        <w:t xml:space="preserve">pentru </w:t>
      </w:r>
      <w:r w:rsidRPr="00922E6D">
        <w:rPr>
          <w:b/>
          <w:bCs/>
          <w:sz w:val="28"/>
          <w:szCs w:val="28"/>
          <w:lang w:val="ro-MD"/>
        </w:rPr>
        <w:t xml:space="preserve">aprobarea Regulamentului </w:t>
      </w:r>
      <w:r w:rsidR="0006723D" w:rsidRPr="00247D32">
        <w:rPr>
          <w:rFonts w:eastAsia="Calibri"/>
          <w:b/>
          <w:bCs/>
          <w:sz w:val="28"/>
          <w:szCs w:val="28"/>
          <w:lang w:val="ro-RO"/>
        </w:rPr>
        <w:t>privind</w:t>
      </w:r>
      <w:r w:rsidR="000D4703">
        <w:rPr>
          <w:rFonts w:eastAsia="Calibri"/>
          <w:b/>
          <w:bCs/>
          <w:sz w:val="28"/>
          <w:szCs w:val="28"/>
          <w:lang w:val="ro-RO"/>
        </w:rPr>
        <w:t xml:space="preserve"> modul de întocmire a</w:t>
      </w:r>
      <w:r w:rsidR="0006723D" w:rsidRPr="00247D32">
        <w:rPr>
          <w:rFonts w:eastAsia="Calibri"/>
          <w:b/>
          <w:bCs/>
          <w:sz w:val="28"/>
          <w:szCs w:val="28"/>
          <w:lang w:val="ro-RO"/>
        </w:rPr>
        <w:t xml:space="preserve"> </w:t>
      </w:r>
      <w:r w:rsidR="0006723D" w:rsidRPr="00247D32">
        <w:rPr>
          <w:rFonts w:eastAsia="Calibri"/>
          <w:b/>
          <w:noProof/>
          <w:sz w:val="28"/>
          <w:szCs w:val="28"/>
          <w:lang w:val="ro-RO"/>
        </w:rPr>
        <w:t>List</w:t>
      </w:r>
      <w:r w:rsidR="000D4703">
        <w:rPr>
          <w:rFonts w:eastAsia="Calibri"/>
          <w:b/>
          <w:noProof/>
          <w:sz w:val="28"/>
          <w:szCs w:val="28"/>
          <w:lang w:val="ro-RO"/>
        </w:rPr>
        <w:t>ei</w:t>
      </w:r>
      <w:r w:rsidR="0006723D" w:rsidRPr="00247D32">
        <w:rPr>
          <w:rFonts w:eastAsia="Calibri"/>
          <w:b/>
          <w:noProof/>
          <w:sz w:val="28"/>
          <w:szCs w:val="28"/>
          <w:lang w:val="ro-RO"/>
        </w:rPr>
        <w:t xml:space="preserve"> de interdicţie a operatorilor economic</w:t>
      </w:r>
      <w:r w:rsidR="0006723D">
        <w:rPr>
          <w:rFonts w:eastAsia="Calibri"/>
          <w:b/>
          <w:noProof/>
          <w:sz w:val="28"/>
          <w:szCs w:val="28"/>
          <w:lang w:val="ro-RO"/>
        </w:rPr>
        <w:t>i</w:t>
      </w:r>
    </w:p>
    <w:p w:rsidR="007413A8" w:rsidRPr="00922E6D" w:rsidRDefault="007413A8" w:rsidP="005D3D73">
      <w:pPr>
        <w:shd w:val="clear" w:color="auto" w:fill="FFFFFF"/>
        <w:tabs>
          <w:tab w:val="left" w:pos="2093"/>
        </w:tabs>
        <w:spacing w:line="322" w:lineRule="exact"/>
        <w:ind w:left="1418" w:right="1555"/>
        <w:jc w:val="center"/>
        <w:rPr>
          <w:b/>
          <w:sz w:val="28"/>
          <w:szCs w:val="28"/>
          <w:lang w:val="ro-MD"/>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2D71AC" w:rsidRPr="00605525" w:rsidTr="00456A17">
        <w:tc>
          <w:tcPr>
            <w:tcW w:w="9606" w:type="dxa"/>
            <w:tcBorders>
              <w:bottom w:val="single" w:sz="4" w:space="0" w:color="auto"/>
            </w:tcBorders>
            <w:shd w:val="clear" w:color="auto" w:fill="BFBFBF" w:themeFill="background1" w:themeFillShade="BF"/>
          </w:tcPr>
          <w:p w:rsidR="002D71AC" w:rsidRPr="00922E6D" w:rsidRDefault="00690012" w:rsidP="00456A17">
            <w:pPr>
              <w:jc w:val="both"/>
              <w:rPr>
                <w:b/>
                <w:sz w:val="28"/>
                <w:szCs w:val="28"/>
                <w:lang w:val="ro-MD"/>
              </w:rPr>
            </w:pPr>
            <w:r>
              <w:rPr>
                <w:b/>
                <w:sz w:val="28"/>
                <w:szCs w:val="28"/>
                <w:lang w:val="ro-MD"/>
              </w:rPr>
              <w:t xml:space="preserve">Denumirea </w:t>
            </w:r>
            <w:r w:rsidR="00456A17">
              <w:rPr>
                <w:b/>
                <w:sz w:val="28"/>
                <w:szCs w:val="28"/>
                <w:lang w:val="ro-MD"/>
              </w:rPr>
              <w:t xml:space="preserve">autorului și </w:t>
            </w:r>
            <w:r w:rsidR="00456A17" w:rsidRPr="00456A17">
              <w:rPr>
                <w:b/>
                <w:sz w:val="28"/>
                <w:szCs w:val="28"/>
                <w:lang w:val="ro-MD"/>
              </w:rPr>
              <w:t>după caz, a participanților la elaborarea proiectului</w:t>
            </w:r>
          </w:p>
        </w:tc>
      </w:tr>
      <w:tr w:rsidR="00456A17" w:rsidRPr="006C390F" w:rsidTr="00D12545">
        <w:trPr>
          <w:trHeight w:val="288"/>
        </w:trPr>
        <w:tc>
          <w:tcPr>
            <w:tcW w:w="9606" w:type="dxa"/>
            <w:shd w:val="clear" w:color="auto" w:fill="auto"/>
          </w:tcPr>
          <w:p w:rsidR="00456A17" w:rsidRPr="00456A17" w:rsidRDefault="00456A17" w:rsidP="00CC5639">
            <w:pPr>
              <w:widowControl/>
              <w:autoSpaceDE/>
              <w:autoSpaceDN/>
              <w:adjustRightInd/>
              <w:spacing w:line="276" w:lineRule="auto"/>
              <w:jc w:val="both"/>
              <w:rPr>
                <w:sz w:val="28"/>
                <w:szCs w:val="28"/>
                <w:lang w:val="ro-MD"/>
              </w:rPr>
            </w:pPr>
            <w:r w:rsidRPr="00CC5639">
              <w:rPr>
                <w:rFonts w:eastAsia="Calibri"/>
                <w:sz w:val="28"/>
                <w:szCs w:val="28"/>
                <w:lang w:val="ro-RO" w:eastAsia="en-US"/>
              </w:rPr>
              <w:t>Ministerul Finanțelor</w:t>
            </w:r>
          </w:p>
        </w:tc>
      </w:tr>
      <w:tr w:rsidR="00690012" w:rsidRPr="00605525" w:rsidTr="00840BC1">
        <w:tc>
          <w:tcPr>
            <w:tcW w:w="9606" w:type="dxa"/>
            <w:shd w:val="clear" w:color="auto" w:fill="BFBFBF" w:themeFill="background1" w:themeFillShade="BF"/>
          </w:tcPr>
          <w:p w:rsidR="00690012" w:rsidRPr="00922E6D" w:rsidRDefault="00690012" w:rsidP="008306B9">
            <w:pPr>
              <w:jc w:val="both"/>
              <w:rPr>
                <w:b/>
                <w:sz w:val="28"/>
                <w:szCs w:val="28"/>
                <w:lang w:val="ro-MD"/>
              </w:rPr>
            </w:pPr>
            <w:r w:rsidRPr="00922E6D">
              <w:rPr>
                <w:b/>
                <w:sz w:val="28"/>
                <w:szCs w:val="28"/>
                <w:lang w:val="ro-MD"/>
              </w:rPr>
              <w:t>Condițiile ce au impus elaborarea proiectului de act normativ și finalitățile urmărite</w:t>
            </w:r>
          </w:p>
        </w:tc>
      </w:tr>
      <w:tr w:rsidR="00601CDB" w:rsidRPr="00605525" w:rsidTr="00601CDB">
        <w:tc>
          <w:tcPr>
            <w:tcW w:w="9606" w:type="dxa"/>
            <w:shd w:val="clear" w:color="auto" w:fill="auto"/>
          </w:tcPr>
          <w:p w:rsidR="00280205" w:rsidRPr="00CC5639" w:rsidRDefault="00F344ED" w:rsidP="00605525">
            <w:pPr>
              <w:widowControl/>
              <w:autoSpaceDE/>
              <w:autoSpaceDN/>
              <w:adjustRightInd/>
              <w:spacing w:line="276" w:lineRule="auto"/>
              <w:jc w:val="both"/>
              <w:rPr>
                <w:rFonts w:eastAsia="Calibri"/>
                <w:sz w:val="28"/>
                <w:szCs w:val="28"/>
                <w:lang w:val="ro-RO" w:eastAsia="en-US"/>
              </w:rPr>
            </w:pPr>
            <w:r w:rsidRPr="00CC5639">
              <w:rPr>
                <w:rFonts w:eastAsia="Calibri"/>
                <w:sz w:val="28"/>
                <w:szCs w:val="28"/>
                <w:lang w:val="ro-RO" w:eastAsia="en-US"/>
              </w:rPr>
              <w:t>Proiectul H</w:t>
            </w:r>
            <w:r w:rsidR="00280205" w:rsidRPr="00CC5639">
              <w:rPr>
                <w:rFonts w:eastAsia="Calibri"/>
                <w:sz w:val="28"/>
                <w:szCs w:val="28"/>
                <w:lang w:val="ro-RO" w:eastAsia="en-US"/>
              </w:rPr>
              <w:t>otărâ</w:t>
            </w:r>
            <w:r w:rsidR="0006723D" w:rsidRPr="00CC5639">
              <w:rPr>
                <w:rFonts w:eastAsia="Calibri"/>
                <w:sz w:val="28"/>
                <w:szCs w:val="28"/>
                <w:lang w:val="ro-RO" w:eastAsia="en-US"/>
              </w:rPr>
              <w:t xml:space="preserve">rii Guvernului pentru aprobarea Regulamentului privind Lista de interdicție a operatorilor economici a fost elaborat în scopul </w:t>
            </w:r>
            <w:r w:rsidR="00280205" w:rsidRPr="00CC5639">
              <w:rPr>
                <w:rFonts w:eastAsia="Calibri"/>
                <w:sz w:val="28"/>
                <w:szCs w:val="28"/>
                <w:lang w:val="ro-RO" w:eastAsia="en-US"/>
              </w:rPr>
              <w:t xml:space="preserve">realizării </w:t>
            </w:r>
            <w:r w:rsidR="0006723D" w:rsidRPr="00CC5639">
              <w:rPr>
                <w:rFonts w:eastAsia="Calibri"/>
                <w:sz w:val="28"/>
                <w:szCs w:val="28"/>
                <w:lang w:val="ro-RO" w:eastAsia="en-US"/>
              </w:rPr>
              <w:t xml:space="preserve">prevederilor art.25 </w:t>
            </w:r>
            <w:r w:rsidR="004437E7" w:rsidRPr="00CC5639">
              <w:rPr>
                <w:rFonts w:eastAsia="Calibri"/>
                <w:sz w:val="28"/>
                <w:szCs w:val="28"/>
                <w:lang w:val="ro-RO" w:eastAsia="en-US"/>
              </w:rPr>
              <w:t>din Legea nr.</w:t>
            </w:r>
            <w:r w:rsidR="0006723D" w:rsidRPr="00CC5639">
              <w:rPr>
                <w:rFonts w:eastAsia="Calibri"/>
                <w:sz w:val="28"/>
                <w:szCs w:val="28"/>
                <w:lang w:val="ro-RO" w:eastAsia="en-US"/>
              </w:rPr>
              <w:t xml:space="preserve">131/2015 privind achizițiile publice. </w:t>
            </w:r>
          </w:p>
          <w:p w:rsidR="004437E7" w:rsidRPr="00CC5639" w:rsidRDefault="00F344ED" w:rsidP="00605525">
            <w:pPr>
              <w:widowControl/>
              <w:autoSpaceDE/>
              <w:autoSpaceDN/>
              <w:adjustRightInd/>
              <w:spacing w:line="276" w:lineRule="auto"/>
              <w:jc w:val="both"/>
              <w:rPr>
                <w:rFonts w:eastAsia="Calibri"/>
                <w:sz w:val="28"/>
                <w:szCs w:val="28"/>
                <w:lang w:val="ro-RO" w:eastAsia="en-US"/>
              </w:rPr>
            </w:pPr>
            <w:r w:rsidRPr="00CC5639">
              <w:rPr>
                <w:rFonts w:eastAsia="Calibri"/>
                <w:sz w:val="28"/>
                <w:szCs w:val="28"/>
                <w:lang w:val="ro-RO" w:eastAsia="en-US"/>
              </w:rPr>
              <w:t>P</w:t>
            </w:r>
            <w:r w:rsidR="004437E7" w:rsidRPr="00CC5639">
              <w:rPr>
                <w:rFonts w:eastAsia="Calibri"/>
                <w:sz w:val="28"/>
                <w:szCs w:val="28"/>
                <w:lang w:val="ro-RO" w:eastAsia="en-US"/>
              </w:rPr>
              <w:t xml:space="preserve">roiectul </w:t>
            </w:r>
            <w:r w:rsidRPr="00CC5639">
              <w:rPr>
                <w:rFonts w:eastAsia="Calibri"/>
                <w:sz w:val="28"/>
                <w:szCs w:val="28"/>
                <w:lang w:val="ro-RO" w:eastAsia="en-US"/>
              </w:rPr>
              <w:t>H</w:t>
            </w:r>
            <w:r w:rsidR="00280205" w:rsidRPr="00CC5639">
              <w:rPr>
                <w:rFonts w:eastAsia="Calibri"/>
                <w:sz w:val="28"/>
                <w:szCs w:val="28"/>
                <w:lang w:val="ro-RO" w:eastAsia="en-US"/>
              </w:rPr>
              <w:t>otărârii</w:t>
            </w:r>
            <w:r w:rsidR="004437E7" w:rsidRPr="00CC5639">
              <w:rPr>
                <w:rFonts w:eastAsia="Calibri"/>
                <w:sz w:val="28"/>
                <w:szCs w:val="28"/>
                <w:lang w:val="ro-RO" w:eastAsia="en-US"/>
              </w:rPr>
              <w:t xml:space="preserve"> Guvernului pentru aprobarea Regulamentului privind Lista de interdicție a operatorilor economic</w:t>
            </w:r>
            <w:r w:rsidR="00646E1E" w:rsidRPr="00CC5639">
              <w:rPr>
                <w:rFonts w:eastAsia="Calibri"/>
                <w:sz w:val="28"/>
                <w:szCs w:val="28"/>
                <w:lang w:val="ro-RO" w:eastAsia="en-US"/>
              </w:rPr>
              <w:t>i</w:t>
            </w:r>
            <w:r w:rsidR="004437E7" w:rsidRPr="00CC5639">
              <w:rPr>
                <w:rFonts w:eastAsia="Calibri"/>
                <w:sz w:val="28"/>
                <w:szCs w:val="28"/>
                <w:lang w:val="ro-RO" w:eastAsia="en-US"/>
              </w:rPr>
              <w:t>, asigură</w:t>
            </w:r>
            <w:r w:rsidR="00646E1E" w:rsidRPr="00CC5639">
              <w:rPr>
                <w:rFonts w:eastAsia="Calibri"/>
                <w:sz w:val="28"/>
                <w:szCs w:val="28"/>
                <w:lang w:val="ro-RO" w:eastAsia="en-US"/>
              </w:rPr>
              <w:t xml:space="preserve"> crearea unui mecanism de prevenire a cazurilor </w:t>
            </w:r>
            <w:r w:rsidR="00E07BFF" w:rsidRPr="00CC5639">
              <w:rPr>
                <w:rFonts w:eastAsia="Calibri"/>
                <w:sz w:val="28"/>
                <w:szCs w:val="28"/>
                <w:lang w:val="ro-RO" w:eastAsia="en-US"/>
              </w:rPr>
              <w:t xml:space="preserve"> de neexecutare</w:t>
            </w:r>
            <w:r w:rsidR="0027697E" w:rsidRPr="00CC5639">
              <w:rPr>
                <w:rFonts w:eastAsia="Calibri"/>
                <w:sz w:val="28"/>
                <w:szCs w:val="28"/>
                <w:lang w:val="ro-RO" w:eastAsia="en-US"/>
              </w:rPr>
              <w:t xml:space="preserve"> a</w:t>
            </w:r>
            <w:r w:rsidR="00E07BFF" w:rsidRPr="00CC5639">
              <w:rPr>
                <w:rFonts w:eastAsia="Calibri"/>
                <w:sz w:val="28"/>
                <w:szCs w:val="28"/>
                <w:lang w:val="ro-RO" w:eastAsia="en-US"/>
              </w:rPr>
              <w:t xml:space="preserve"> obligațiilor</w:t>
            </w:r>
            <w:r w:rsidR="00646E1E" w:rsidRPr="00CC5639">
              <w:rPr>
                <w:rFonts w:eastAsia="Calibri"/>
                <w:sz w:val="28"/>
                <w:szCs w:val="28"/>
                <w:lang w:val="ro-RO" w:eastAsia="en-US"/>
              </w:rPr>
              <w:t xml:space="preserve"> contractuale</w:t>
            </w:r>
            <w:r w:rsidR="00FC4840" w:rsidRPr="00CC5639">
              <w:rPr>
                <w:rFonts w:eastAsia="Calibri"/>
                <w:sz w:val="28"/>
                <w:szCs w:val="28"/>
                <w:lang w:val="ro-RO" w:eastAsia="en-US"/>
              </w:rPr>
              <w:t>, preze</w:t>
            </w:r>
            <w:r w:rsidR="0027697E" w:rsidRPr="00CC5639">
              <w:rPr>
                <w:rFonts w:eastAsia="Calibri"/>
                <w:sz w:val="28"/>
                <w:szCs w:val="28"/>
                <w:lang w:val="ro-RO" w:eastAsia="en-US"/>
              </w:rPr>
              <w:t>ntă</w:t>
            </w:r>
            <w:r w:rsidR="00E07BFF" w:rsidRPr="00CC5639">
              <w:rPr>
                <w:rFonts w:eastAsia="Calibri"/>
                <w:sz w:val="28"/>
                <w:szCs w:val="28"/>
                <w:lang w:val="ro-RO" w:eastAsia="en-US"/>
              </w:rPr>
              <w:t>rii</w:t>
            </w:r>
            <w:r w:rsidR="0027697E" w:rsidRPr="00CC5639">
              <w:rPr>
                <w:rFonts w:eastAsia="Calibri"/>
                <w:sz w:val="28"/>
                <w:szCs w:val="28"/>
                <w:lang w:val="ro-RO" w:eastAsia="en-US"/>
              </w:rPr>
              <w:t xml:space="preserve"> documente</w:t>
            </w:r>
            <w:r w:rsidR="00E07BFF" w:rsidRPr="00CC5639">
              <w:rPr>
                <w:rFonts w:eastAsia="Calibri"/>
                <w:sz w:val="28"/>
                <w:szCs w:val="28"/>
                <w:lang w:val="ro-RO" w:eastAsia="en-US"/>
              </w:rPr>
              <w:t>lor</w:t>
            </w:r>
            <w:r w:rsidR="0027697E" w:rsidRPr="00CC5639">
              <w:rPr>
                <w:rFonts w:eastAsia="Calibri"/>
                <w:sz w:val="28"/>
                <w:szCs w:val="28"/>
                <w:lang w:val="ro-RO" w:eastAsia="en-US"/>
              </w:rPr>
              <w:t xml:space="preserve"> false,</w:t>
            </w:r>
            <w:r w:rsidR="00E07BFF" w:rsidRPr="00CC5639">
              <w:rPr>
                <w:rFonts w:eastAsia="Calibri"/>
                <w:sz w:val="28"/>
                <w:szCs w:val="28"/>
                <w:lang w:val="ro-RO" w:eastAsia="en-US"/>
              </w:rPr>
              <w:t xml:space="preserve"> depunerii</w:t>
            </w:r>
            <w:r w:rsidR="0027697E" w:rsidRPr="00CC5639">
              <w:rPr>
                <w:rFonts w:eastAsia="Calibri"/>
                <w:sz w:val="28"/>
                <w:szCs w:val="28"/>
                <w:lang w:val="ro-RO" w:eastAsia="en-US"/>
              </w:rPr>
              <w:t xml:space="preserve"> ofertelor trucate</w:t>
            </w:r>
            <w:r w:rsidRPr="00CC5639">
              <w:rPr>
                <w:rFonts w:eastAsia="Calibri"/>
                <w:sz w:val="28"/>
                <w:szCs w:val="28"/>
                <w:lang w:val="ro-RO" w:eastAsia="en-US"/>
              </w:rPr>
              <w:t xml:space="preserve"> </w:t>
            </w:r>
            <w:r w:rsidR="00E07BFF" w:rsidRPr="00CC5639">
              <w:rPr>
                <w:rFonts w:eastAsia="Calibri"/>
                <w:sz w:val="28"/>
                <w:szCs w:val="28"/>
                <w:lang w:val="ro-RO" w:eastAsia="en-US"/>
              </w:rPr>
              <w:t>de către operatorii economici, participanți la procedura de atribuire a contractelor de achiziție publică și responsabilizarea acestora.</w:t>
            </w:r>
          </w:p>
          <w:p w:rsidR="0018002B" w:rsidRPr="00CC5639" w:rsidRDefault="004437E7" w:rsidP="00605525">
            <w:pPr>
              <w:widowControl/>
              <w:autoSpaceDE/>
              <w:autoSpaceDN/>
              <w:adjustRightInd/>
              <w:spacing w:line="276" w:lineRule="auto"/>
              <w:jc w:val="both"/>
              <w:rPr>
                <w:rFonts w:eastAsia="Calibri"/>
                <w:sz w:val="28"/>
                <w:szCs w:val="28"/>
                <w:lang w:val="ro-RO" w:eastAsia="en-US"/>
              </w:rPr>
            </w:pPr>
            <w:r w:rsidRPr="00CC5639">
              <w:rPr>
                <w:rFonts w:eastAsia="Calibri"/>
                <w:sz w:val="28"/>
                <w:szCs w:val="28"/>
                <w:lang w:val="ro-RO" w:eastAsia="en-US"/>
              </w:rPr>
              <w:t xml:space="preserve">Astfel, </w:t>
            </w:r>
            <w:r w:rsidR="00D8420D" w:rsidRPr="00CC5639">
              <w:rPr>
                <w:rFonts w:eastAsia="Calibri"/>
                <w:sz w:val="28"/>
                <w:szCs w:val="28"/>
                <w:lang w:val="ro-RO" w:eastAsia="en-US"/>
              </w:rPr>
              <w:t xml:space="preserve">scopul </w:t>
            </w:r>
            <w:r w:rsidRPr="00CC5639">
              <w:rPr>
                <w:rFonts w:eastAsia="Calibri"/>
                <w:sz w:val="28"/>
                <w:szCs w:val="28"/>
                <w:lang w:val="ro-RO" w:eastAsia="en-US"/>
              </w:rPr>
              <w:t>prezentul</w:t>
            </w:r>
            <w:r w:rsidR="00D8420D" w:rsidRPr="00CC5639">
              <w:rPr>
                <w:rFonts w:eastAsia="Calibri"/>
                <w:sz w:val="28"/>
                <w:szCs w:val="28"/>
                <w:lang w:val="ro-RO" w:eastAsia="en-US"/>
              </w:rPr>
              <w:t>ui</w:t>
            </w:r>
            <w:r w:rsidRPr="00CC5639">
              <w:rPr>
                <w:rFonts w:eastAsia="Calibri"/>
                <w:sz w:val="28"/>
                <w:szCs w:val="28"/>
                <w:lang w:val="ro-RO" w:eastAsia="en-US"/>
              </w:rPr>
              <w:t xml:space="preserve"> Regulament</w:t>
            </w:r>
            <w:r w:rsidR="007A566F" w:rsidRPr="00CC5639">
              <w:rPr>
                <w:rFonts w:eastAsia="Calibri"/>
                <w:sz w:val="28"/>
                <w:szCs w:val="28"/>
                <w:lang w:val="ro-RO" w:eastAsia="en-US"/>
              </w:rPr>
              <w:t xml:space="preserve"> reprezintă înscrierea prin limitarea pentru o perioadă de 3 ani a operatorilor</w:t>
            </w:r>
            <w:r w:rsidRPr="00CC5639">
              <w:rPr>
                <w:rFonts w:eastAsia="Calibri"/>
                <w:sz w:val="28"/>
                <w:szCs w:val="28"/>
                <w:lang w:val="ro-RO" w:eastAsia="en-US"/>
              </w:rPr>
              <w:t xml:space="preserve"> economici,</w:t>
            </w:r>
            <w:r w:rsidR="007A566F" w:rsidRPr="00CC5639">
              <w:rPr>
                <w:rFonts w:eastAsia="Calibri"/>
                <w:sz w:val="28"/>
                <w:szCs w:val="28"/>
                <w:lang w:val="ro-RO" w:eastAsia="en-US"/>
              </w:rPr>
              <w:t xml:space="preserve"> participanți la procedurile de atribuire a contractelor de achiziții publice/acordurilor-cadru, care nu </w:t>
            </w:r>
            <w:r w:rsidR="00280205" w:rsidRPr="00CC5639">
              <w:rPr>
                <w:rFonts w:eastAsia="Calibri"/>
                <w:sz w:val="28"/>
                <w:szCs w:val="28"/>
                <w:lang w:val="ro-RO" w:eastAsia="en-US"/>
              </w:rPr>
              <w:t>și</w:t>
            </w:r>
            <w:r w:rsidR="007A566F" w:rsidRPr="00CC5639">
              <w:rPr>
                <w:rFonts w:eastAsia="Calibri"/>
                <w:sz w:val="28"/>
                <w:szCs w:val="28"/>
                <w:lang w:val="ro-RO" w:eastAsia="en-US"/>
              </w:rPr>
              <w:t>-au îndeplinit corespunzător obligațiile asumate în cadrul acestor proceduri sau a căror conduită contravine prevederilor legislației</w:t>
            </w:r>
            <w:r w:rsidRPr="00CC5639">
              <w:rPr>
                <w:rFonts w:eastAsia="Calibri"/>
                <w:sz w:val="28"/>
                <w:szCs w:val="28"/>
                <w:lang w:val="ro-RO" w:eastAsia="en-US"/>
              </w:rPr>
              <w:t xml:space="preserve">. </w:t>
            </w:r>
          </w:p>
          <w:p w:rsidR="006E6EE5" w:rsidRPr="00441D40" w:rsidRDefault="00441D40" w:rsidP="00605525">
            <w:pPr>
              <w:widowControl/>
              <w:autoSpaceDE/>
              <w:autoSpaceDN/>
              <w:adjustRightInd/>
              <w:spacing w:line="276" w:lineRule="auto"/>
              <w:jc w:val="both"/>
              <w:rPr>
                <w:sz w:val="28"/>
                <w:szCs w:val="28"/>
                <w:lang w:val="ro-MD"/>
              </w:rPr>
            </w:pPr>
            <w:r w:rsidRPr="00CC5639">
              <w:rPr>
                <w:rFonts w:eastAsia="Calibri"/>
                <w:sz w:val="28"/>
                <w:szCs w:val="28"/>
                <w:lang w:val="ro-RO" w:eastAsia="en-US"/>
              </w:rPr>
              <w:t>Î</w:t>
            </w:r>
            <w:r w:rsidR="006E6EE5" w:rsidRPr="00CC5639">
              <w:rPr>
                <w:rFonts w:eastAsia="Calibri"/>
                <w:sz w:val="28"/>
                <w:szCs w:val="28"/>
                <w:lang w:val="ro-RO" w:eastAsia="en-US"/>
              </w:rPr>
              <w:t>nscrierea operatorului economic în lista de interdicție reprezintă o măsură de precauție și de disciplinare a agenților economici.</w:t>
            </w:r>
          </w:p>
        </w:tc>
      </w:tr>
      <w:tr w:rsidR="00601CDB" w:rsidRPr="00605525" w:rsidTr="00456A17">
        <w:tc>
          <w:tcPr>
            <w:tcW w:w="9606" w:type="dxa"/>
            <w:tcBorders>
              <w:bottom w:val="single" w:sz="4" w:space="0" w:color="auto"/>
            </w:tcBorders>
            <w:shd w:val="clear" w:color="auto" w:fill="BFBFBF" w:themeFill="background1" w:themeFillShade="BF"/>
          </w:tcPr>
          <w:p w:rsidR="00601CDB" w:rsidRPr="00922E6D" w:rsidRDefault="00456A17" w:rsidP="00456A17">
            <w:pPr>
              <w:jc w:val="both"/>
              <w:rPr>
                <w:b/>
                <w:sz w:val="28"/>
                <w:szCs w:val="28"/>
                <w:lang w:val="ro-MD"/>
              </w:rPr>
            </w:pPr>
            <w:r>
              <w:rPr>
                <w:b/>
                <w:sz w:val="28"/>
                <w:szCs w:val="28"/>
                <w:lang w:val="ro-MD"/>
              </w:rPr>
              <w:t>Descrierea gradului de compatibilitate pentru proiectele care au ca scop armonizarea legislației naționale cu legislația Uniunii Europene</w:t>
            </w:r>
          </w:p>
        </w:tc>
      </w:tr>
      <w:tr w:rsidR="008306B9" w:rsidRPr="00605525" w:rsidTr="00456A17">
        <w:tc>
          <w:tcPr>
            <w:tcW w:w="9606" w:type="dxa"/>
            <w:shd w:val="clear" w:color="auto" w:fill="auto"/>
          </w:tcPr>
          <w:p w:rsidR="008306B9" w:rsidRPr="00332838" w:rsidRDefault="00332838" w:rsidP="00CC5639">
            <w:pPr>
              <w:widowControl/>
              <w:autoSpaceDE/>
              <w:autoSpaceDN/>
              <w:adjustRightInd/>
              <w:spacing w:line="276" w:lineRule="auto"/>
              <w:jc w:val="both"/>
              <w:rPr>
                <w:sz w:val="28"/>
                <w:szCs w:val="28"/>
                <w:lang w:val="ro-MD"/>
              </w:rPr>
            </w:pPr>
            <w:r w:rsidRPr="00CC5639">
              <w:rPr>
                <w:rFonts w:eastAsia="Calibri"/>
                <w:sz w:val="28"/>
                <w:szCs w:val="28"/>
                <w:lang w:val="ro-RO" w:eastAsia="en-US"/>
              </w:rPr>
              <w:t xml:space="preserve">Actul normativ nu are </w:t>
            </w:r>
            <w:r w:rsidR="00206EAC" w:rsidRPr="00CC5639">
              <w:rPr>
                <w:rFonts w:eastAsia="Calibri"/>
                <w:sz w:val="28"/>
                <w:szCs w:val="28"/>
                <w:lang w:val="ro-RO" w:eastAsia="en-US"/>
              </w:rPr>
              <w:t>drept</w:t>
            </w:r>
            <w:r w:rsidRPr="00CC5639">
              <w:rPr>
                <w:rFonts w:eastAsia="Calibri"/>
                <w:sz w:val="28"/>
                <w:szCs w:val="28"/>
                <w:lang w:val="ro-RO" w:eastAsia="en-US"/>
              </w:rPr>
              <w:t xml:space="preserve"> scop armonizarea legislației naționale cu legislația Uniunii Europene.</w:t>
            </w:r>
          </w:p>
        </w:tc>
      </w:tr>
      <w:tr w:rsidR="008306B9" w:rsidRPr="00605525" w:rsidTr="00840BC1">
        <w:tc>
          <w:tcPr>
            <w:tcW w:w="9606" w:type="dxa"/>
            <w:shd w:val="clear" w:color="auto" w:fill="BFBFBF" w:themeFill="background1" w:themeFillShade="BF"/>
          </w:tcPr>
          <w:p w:rsidR="008306B9" w:rsidRPr="00922E6D" w:rsidRDefault="008306B9" w:rsidP="00DC2432">
            <w:pPr>
              <w:jc w:val="both"/>
              <w:rPr>
                <w:b/>
                <w:sz w:val="28"/>
                <w:szCs w:val="28"/>
                <w:lang w:val="ro-MD"/>
              </w:rPr>
            </w:pPr>
            <w:r w:rsidRPr="00922E6D">
              <w:rPr>
                <w:b/>
                <w:sz w:val="28"/>
                <w:szCs w:val="28"/>
                <w:lang w:val="ro-MD"/>
              </w:rPr>
              <w:t>Principalele prevederi ale proiectului și evidențierea elementelor noi</w:t>
            </w:r>
          </w:p>
        </w:tc>
      </w:tr>
      <w:tr w:rsidR="008306B9" w:rsidRPr="00605525" w:rsidTr="00206EAC">
        <w:trPr>
          <w:trHeight w:val="416"/>
        </w:trPr>
        <w:tc>
          <w:tcPr>
            <w:tcW w:w="9606" w:type="dxa"/>
            <w:tcBorders>
              <w:bottom w:val="single" w:sz="4" w:space="0" w:color="auto"/>
            </w:tcBorders>
            <w:shd w:val="clear" w:color="auto" w:fill="auto"/>
          </w:tcPr>
          <w:p w:rsidR="00441D40" w:rsidRPr="00CC5639" w:rsidRDefault="00772530" w:rsidP="00605525">
            <w:pPr>
              <w:widowControl/>
              <w:autoSpaceDE/>
              <w:autoSpaceDN/>
              <w:adjustRightInd/>
              <w:spacing w:line="276" w:lineRule="auto"/>
              <w:jc w:val="both"/>
              <w:rPr>
                <w:rFonts w:eastAsia="Calibri"/>
                <w:sz w:val="28"/>
                <w:szCs w:val="28"/>
                <w:lang w:val="ro-RO" w:eastAsia="en-US"/>
              </w:rPr>
            </w:pPr>
            <w:r w:rsidRPr="00CC5639">
              <w:rPr>
                <w:rFonts w:eastAsia="Calibri"/>
                <w:sz w:val="28"/>
                <w:szCs w:val="28"/>
                <w:lang w:val="ro-RO" w:eastAsia="en-US"/>
              </w:rPr>
              <w:t>Regulamentul</w:t>
            </w:r>
            <w:r w:rsidR="006D2317" w:rsidRPr="00CC5639">
              <w:rPr>
                <w:rFonts w:eastAsia="Calibri"/>
                <w:sz w:val="28"/>
                <w:szCs w:val="28"/>
                <w:lang w:val="ro-RO" w:eastAsia="en-US"/>
              </w:rPr>
              <w:t xml:space="preserve"> privind Lista de interdicție a operatorilor economici</w:t>
            </w:r>
            <w:r w:rsidR="00D8420D" w:rsidRPr="00CC5639">
              <w:rPr>
                <w:rFonts w:eastAsia="Calibri"/>
                <w:sz w:val="28"/>
                <w:szCs w:val="28"/>
                <w:lang w:val="ro-RO" w:eastAsia="en-US"/>
              </w:rPr>
              <w:t xml:space="preserve"> stabilește</w:t>
            </w:r>
            <w:r w:rsidR="006D2317" w:rsidRPr="00CC5639">
              <w:rPr>
                <w:rFonts w:eastAsia="Calibri"/>
                <w:sz w:val="28"/>
                <w:szCs w:val="28"/>
                <w:lang w:val="ro-RO" w:eastAsia="en-US"/>
              </w:rPr>
              <w:t xml:space="preserve"> modul de întocmire și</w:t>
            </w:r>
            <w:r w:rsidR="00D8420D" w:rsidRPr="00CC5639">
              <w:rPr>
                <w:rFonts w:eastAsia="Calibri"/>
                <w:sz w:val="28"/>
                <w:szCs w:val="28"/>
                <w:lang w:val="ro-RO" w:eastAsia="en-US"/>
              </w:rPr>
              <w:t xml:space="preserve"> conținutul</w:t>
            </w:r>
            <w:r w:rsidR="006D2317" w:rsidRPr="00CC5639">
              <w:rPr>
                <w:rFonts w:eastAsia="Calibri"/>
                <w:sz w:val="28"/>
                <w:szCs w:val="28"/>
                <w:lang w:val="ro-RO" w:eastAsia="en-US"/>
              </w:rPr>
              <w:t xml:space="preserve"> Listei</w:t>
            </w:r>
            <w:r w:rsidR="00280205" w:rsidRPr="00CC5639">
              <w:rPr>
                <w:rFonts w:eastAsia="Calibri"/>
                <w:sz w:val="28"/>
                <w:szCs w:val="28"/>
                <w:lang w:val="ro-RO" w:eastAsia="en-US"/>
              </w:rPr>
              <w:t xml:space="preserve"> de interdicție</w:t>
            </w:r>
            <w:r w:rsidR="00D8420D" w:rsidRPr="00CC5639">
              <w:rPr>
                <w:rFonts w:eastAsia="Calibri"/>
                <w:sz w:val="28"/>
                <w:szCs w:val="28"/>
                <w:lang w:val="ro-RO" w:eastAsia="en-US"/>
              </w:rPr>
              <w:t>,</w:t>
            </w:r>
            <w:r w:rsidR="006D2317" w:rsidRPr="00CC5639">
              <w:rPr>
                <w:rFonts w:eastAsia="Calibri"/>
                <w:sz w:val="28"/>
                <w:szCs w:val="28"/>
                <w:lang w:val="ro-RO" w:eastAsia="en-US"/>
              </w:rPr>
              <w:t xml:space="preserve"> procedura de înscriere a operatorilor economici în listă, modul excluderii din List</w:t>
            </w:r>
            <w:r w:rsidR="00280205" w:rsidRPr="00CC5639">
              <w:rPr>
                <w:rFonts w:eastAsia="Calibri"/>
                <w:sz w:val="28"/>
                <w:szCs w:val="28"/>
                <w:lang w:val="ro-RO" w:eastAsia="en-US"/>
              </w:rPr>
              <w:t>a de interdicție,</w:t>
            </w:r>
            <w:r w:rsidR="006D2317" w:rsidRPr="00CC5639">
              <w:rPr>
                <w:rFonts w:eastAsia="Calibri"/>
                <w:sz w:val="28"/>
                <w:szCs w:val="28"/>
                <w:lang w:val="ro-RO" w:eastAsia="en-US"/>
              </w:rPr>
              <w:t xml:space="preserve"> precum și modul de evidență și actualizare a </w:t>
            </w:r>
            <w:r w:rsidR="00280205" w:rsidRPr="00CC5639">
              <w:rPr>
                <w:rFonts w:eastAsia="Calibri"/>
                <w:sz w:val="28"/>
                <w:szCs w:val="28"/>
                <w:lang w:val="ro-RO" w:eastAsia="en-US"/>
              </w:rPr>
              <w:t>acesteia</w:t>
            </w:r>
            <w:r w:rsidR="006D2317" w:rsidRPr="00CC5639">
              <w:rPr>
                <w:rFonts w:eastAsia="Calibri"/>
                <w:sz w:val="28"/>
                <w:szCs w:val="28"/>
                <w:lang w:val="ro-RO" w:eastAsia="en-US"/>
              </w:rPr>
              <w:t>.</w:t>
            </w:r>
          </w:p>
          <w:p w:rsidR="00441D40" w:rsidRDefault="00441D40" w:rsidP="00605525">
            <w:pPr>
              <w:widowControl/>
              <w:autoSpaceDE/>
              <w:autoSpaceDN/>
              <w:adjustRightInd/>
              <w:spacing w:line="276" w:lineRule="auto"/>
              <w:jc w:val="both"/>
              <w:rPr>
                <w:rFonts w:eastAsia="Calibri"/>
                <w:sz w:val="28"/>
                <w:szCs w:val="28"/>
                <w:lang w:val="ro-RO" w:eastAsia="en-US"/>
              </w:rPr>
            </w:pPr>
            <w:r w:rsidRPr="00441D40">
              <w:rPr>
                <w:rFonts w:eastAsia="Calibri"/>
                <w:sz w:val="28"/>
                <w:szCs w:val="28"/>
                <w:lang w:val="ro-RO" w:eastAsia="en-US"/>
              </w:rPr>
              <w:t>Temeiurile pentru care un operator economic se înscrie</w:t>
            </w:r>
            <w:r>
              <w:rPr>
                <w:rFonts w:eastAsia="Calibri"/>
                <w:sz w:val="28"/>
                <w:szCs w:val="28"/>
                <w:lang w:val="ro-RO" w:eastAsia="en-US"/>
              </w:rPr>
              <w:t xml:space="preserve"> în Listă se referă la</w:t>
            </w:r>
            <w:r w:rsidRPr="00441D40">
              <w:rPr>
                <w:rFonts w:eastAsia="Calibri"/>
                <w:sz w:val="28"/>
                <w:szCs w:val="28"/>
                <w:lang w:val="ro-RO" w:eastAsia="en-US"/>
              </w:rPr>
              <w:t xml:space="preserve">: </w:t>
            </w:r>
          </w:p>
          <w:p w:rsidR="00441D40" w:rsidRPr="00441D40" w:rsidRDefault="00441D40" w:rsidP="00605525">
            <w:pPr>
              <w:widowControl/>
              <w:autoSpaceDE/>
              <w:autoSpaceDN/>
              <w:adjustRightInd/>
              <w:spacing w:line="276" w:lineRule="auto"/>
              <w:jc w:val="both"/>
              <w:rPr>
                <w:rFonts w:eastAsia="Calibri"/>
                <w:sz w:val="28"/>
                <w:szCs w:val="28"/>
                <w:lang w:val="ro-RO" w:eastAsia="en-US"/>
              </w:rPr>
            </w:pPr>
            <w:r w:rsidRPr="00441D40">
              <w:rPr>
                <w:rFonts w:eastAsia="Calibri"/>
                <w:sz w:val="28"/>
                <w:szCs w:val="28"/>
                <w:lang w:val="ro-RO" w:eastAsia="en-US"/>
              </w:rPr>
              <w:t>-</w:t>
            </w:r>
            <w:r>
              <w:rPr>
                <w:rFonts w:eastAsia="Calibri"/>
                <w:sz w:val="28"/>
                <w:szCs w:val="28"/>
                <w:lang w:val="ro-RO" w:eastAsia="en-US"/>
              </w:rPr>
              <w:t xml:space="preserve"> comiterea</w:t>
            </w:r>
            <w:r w:rsidRPr="00441D40">
              <w:rPr>
                <w:rFonts w:eastAsia="Calibri"/>
                <w:sz w:val="28"/>
                <w:szCs w:val="28"/>
                <w:lang w:val="ro-RO" w:eastAsia="en-US"/>
              </w:rPr>
              <w:t xml:space="preserve"> </w:t>
            </w:r>
            <w:r>
              <w:rPr>
                <w:rFonts w:eastAsia="Calibri"/>
                <w:sz w:val="28"/>
                <w:szCs w:val="28"/>
                <w:lang w:val="ro-RO" w:eastAsia="en-US"/>
              </w:rPr>
              <w:t>unor abateri profesionale</w:t>
            </w:r>
            <w:r w:rsidRPr="00441D40">
              <w:rPr>
                <w:rFonts w:eastAsia="Calibri"/>
                <w:sz w:val="28"/>
                <w:szCs w:val="28"/>
                <w:lang w:val="ro-RO" w:eastAsia="en-US"/>
              </w:rPr>
              <w:t xml:space="preserve"> pe parcursul executării contractului de achiziție publică care face inutilă prestația, imposibilă utilizarea bunului conform destinației sau lucrării executate. Autoritatea contractantă sau organul care a înaintat sesizarea urmează să demonstreze prin orice mijloace adecvate acest fapt;</w:t>
            </w:r>
          </w:p>
          <w:p w:rsidR="00441D40" w:rsidRPr="00441D40" w:rsidRDefault="00441D40" w:rsidP="00605525">
            <w:pPr>
              <w:widowControl/>
              <w:autoSpaceDE/>
              <w:autoSpaceDN/>
              <w:adjustRightInd/>
              <w:spacing w:line="276" w:lineRule="auto"/>
              <w:contextualSpacing/>
              <w:jc w:val="both"/>
              <w:rPr>
                <w:rFonts w:eastAsia="Calibri"/>
                <w:sz w:val="28"/>
                <w:szCs w:val="28"/>
                <w:lang w:val="ro-RO" w:eastAsia="en-US"/>
              </w:rPr>
            </w:pPr>
            <w:r>
              <w:rPr>
                <w:rFonts w:eastAsia="Calibri"/>
                <w:sz w:val="28"/>
                <w:szCs w:val="28"/>
                <w:lang w:val="ro-RO" w:eastAsia="en-US"/>
              </w:rPr>
              <w:lastRenderedPageBreak/>
              <w:t>- neîndeplinirea</w:t>
            </w:r>
            <w:r w:rsidRPr="00441D40">
              <w:rPr>
                <w:rFonts w:eastAsia="Calibri"/>
                <w:sz w:val="28"/>
                <w:szCs w:val="28"/>
                <w:lang w:val="ro-RO" w:eastAsia="en-US"/>
              </w:rPr>
              <w:t xml:space="preserve"> </w:t>
            </w:r>
            <w:r>
              <w:rPr>
                <w:rFonts w:eastAsia="Calibri"/>
                <w:sz w:val="28"/>
                <w:szCs w:val="28"/>
                <w:lang w:val="ro-RO" w:eastAsia="en-US"/>
              </w:rPr>
              <w:t>obligațiilor</w:t>
            </w:r>
            <w:r w:rsidRPr="00441D40">
              <w:rPr>
                <w:rFonts w:eastAsia="Calibri"/>
                <w:sz w:val="28"/>
                <w:szCs w:val="28"/>
                <w:lang w:val="ro-RO" w:eastAsia="en-US"/>
              </w:rPr>
              <w:t xml:space="preserve"> contractuale,  calitatea bunurilor, serviciilor și lucrărilor este mai joasă decât cea prevăzută în contract și în documentele privind desfășurarea procedurii de atribuire, cu survenirea unui prejudiciu sau afectării activității  autorității contractante;</w:t>
            </w:r>
          </w:p>
          <w:p w:rsidR="00441D40" w:rsidRDefault="00441D40" w:rsidP="00605525">
            <w:pPr>
              <w:widowControl/>
              <w:autoSpaceDE/>
              <w:autoSpaceDN/>
              <w:adjustRightInd/>
              <w:spacing w:line="276" w:lineRule="auto"/>
              <w:contextualSpacing/>
              <w:jc w:val="both"/>
              <w:rPr>
                <w:rFonts w:eastAsia="Calibri"/>
                <w:sz w:val="28"/>
                <w:szCs w:val="28"/>
                <w:lang w:val="ro-RO" w:eastAsia="en-US"/>
              </w:rPr>
            </w:pPr>
            <w:r>
              <w:rPr>
                <w:rFonts w:eastAsia="Calibri"/>
                <w:sz w:val="28"/>
                <w:szCs w:val="28"/>
                <w:lang w:val="ro-RO" w:eastAsia="en-US"/>
              </w:rPr>
              <w:t>- neîndeplinirea obligațiilor</w:t>
            </w:r>
            <w:r w:rsidRPr="00441D40">
              <w:rPr>
                <w:rFonts w:eastAsia="Calibri"/>
                <w:sz w:val="28"/>
                <w:szCs w:val="28"/>
                <w:lang w:val="ro-RO" w:eastAsia="en-US"/>
              </w:rPr>
              <w:t xml:space="preserve"> contractuale, prin nerespectarea termenilor privind livrarea bunurilor, prestarea serviciilor sau executarea lucrărilor, fapt prin care a afectat activitatea autorității contractante sau a cauzat un prejudiciu;</w:t>
            </w:r>
          </w:p>
          <w:p w:rsidR="00441D40" w:rsidRPr="00441D40" w:rsidRDefault="00441D40" w:rsidP="00605525">
            <w:pPr>
              <w:widowControl/>
              <w:autoSpaceDE/>
              <w:autoSpaceDN/>
              <w:adjustRightInd/>
              <w:spacing w:line="276" w:lineRule="auto"/>
              <w:contextualSpacing/>
              <w:jc w:val="both"/>
              <w:rPr>
                <w:rFonts w:eastAsia="Calibri"/>
                <w:sz w:val="28"/>
                <w:szCs w:val="28"/>
                <w:lang w:val="ro-RO" w:eastAsia="en-US"/>
              </w:rPr>
            </w:pPr>
            <w:r>
              <w:rPr>
                <w:rFonts w:eastAsia="Calibri"/>
                <w:sz w:val="28"/>
                <w:szCs w:val="28"/>
                <w:lang w:val="ro-RO" w:eastAsia="en-US"/>
              </w:rPr>
              <w:t xml:space="preserve">- </w:t>
            </w:r>
            <w:r w:rsidRPr="00441D40">
              <w:rPr>
                <w:rFonts w:eastAsia="Calibri"/>
                <w:sz w:val="28"/>
                <w:szCs w:val="28"/>
                <w:lang w:val="ro-RO" w:eastAsia="en-US"/>
              </w:rPr>
              <w:t>prezentarea în cadrul procedurii de atribuire a contractelor de achiziții publice a documentelor  care conțin date denaturate/eronate sau oricare alte documente/informații false sau neveridice;</w:t>
            </w:r>
          </w:p>
          <w:p w:rsidR="00441D40" w:rsidRDefault="00441D40" w:rsidP="00605525">
            <w:pPr>
              <w:widowControl/>
              <w:autoSpaceDE/>
              <w:autoSpaceDN/>
              <w:adjustRightInd/>
              <w:spacing w:line="276" w:lineRule="auto"/>
              <w:contextualSpacing/>
              <w:jc w:val="both"/>
              <w:rPr>
                <w:rFonts w:eastAsia="Calibri"/>
                <w:sz w:val="28"/>
                <w:szCs w:val="28"/>
                <w:lang w:val="ro-RO" w:eastAsia="en-US"/>
              </w:rPr>
            </w:pPr>
            <w:r>
              <w:rPr>
                <w:rFonts w:eastAsia="Calibri"/>
                <w:sz w:val="28"/>
                <w:szCs w:val="28"/>
                <w:lang w:val="ro-RO" w:eastAsia="en-US"/>
              </w:rPr>
              <w:t>- existența</w:t>
            </w:r>
            <w:r w:rsidRPr="00441D40">
              <w:rPr>
                <w:rFonts w:eastAsia="Calibri"/>
                <w:sz w:val="28"/>
                <w:szCs w:val="28"/>
                <w:lang w:val="ro-RO" w:eastAsia="en-US"/>
              </w:rPr>
              <w:t xml:space="preserve"> probe</w:t>
            </w:r>
            <w:r>
              <w:rPr>
                <w:rFonts w:eastAsia="Calibri"/>
                <w:sz w:val="28"/>
                <w:szCs w:val="28"/>
                <w:lang w:val="ro-RO" w:eastAsia="en-US"/>
              </w:rPr>
              <w:t>lor</w:t>
            </w:r>
            <w:r w:rsidRPr="00441D40">
              <w:rPr>
                <w:rFonts w:eastAsia="Calibri"/>
                <w:sz w:val="28"/>
                <w:szCs w:val="28"/>
                <w:lang w:val="ro-RO" w:eastAsia="en-US"/>
              </w:rPr>
              <w:t xml:space="preserve"> prezentate de autoritatea contractantă sau de organul de control care demonstrează faptul că operatorii economici au participat la procedura de atribuire cu oferte trucate, au participat ca membri ai grupului de întreprinderi dependente la aceeași procedură de  atribuire cu mai multe oferte sau au creat o concurență neloială între participanți.</w:t>
            </w:r>
          </w:p>
          <w:p w:rsidR="00F854DB" w:rsidRPr="00EA70C0" w:rsidRDefault="00441D40" w:rsidP="00605525">
            <w:pPr>
              <w:widowControl/>
              <w:autoSpaceDE/>
              <w:autoSpaceDN/>
              <w:adjustRightInd/>
              <w:spacing w:line="276" w:lineRule="auto"/>
              <w:contextualSpacing/>
              <w:jc w:val="both"/>
              <w:rPr>
                <w:rFonts w:eastAsia="Calibri"/>
                <w:sz w:val="28"/>
                <w:szCs w:val="28"/>
                <w:lang w:val="ro-MD" w:eastAsia="en-US"/>
              </w:rPr>
            </w:pPr>
            <w:r>
              <w:rPr>
                <w:rFonts w:eastAsia="Calibri"/>
                <w:sz w:val="28"/>
                <w:szCs w:val="28"/>
                <w:lang w:val="ro-RO" w:eastAsia="en-US"/>
              </w:rPr>
              <w:t xml:space="preserve">Mecanismul de responsabilizare stabilit de Regulament se răsfrânge asupra administratorilor, fondatorilor și beneficiarilor efectivi </w:t>
            </w:r>
            <w:r w:rsidR="000D4703">
              <w:rPr>
                <w:rFonts w:eastAsia="Calibri"/>
                <w:sz w:val="28"/>
                <w:szCs w:val="28"/>
                <w:lang w:val="ro-RO" w:eastAsia="en-US"/>
              </w:rPr>
              <w:t>ai operatorului economic care a fost inclus în listă. Astfel pct.26 din Regulament prevede că</w:t>
            </w:r>
            <w:r w:rsidR="000D4703" w:rsidRPr="00CC5639">
              <w:rPr>
                <w:rFonts w:eastAsia="Calibri"/>
                <w:sz w:val="28"/>
                <w:szCs w:val="28"/>
                <w:lang w:val="ro-RO" w:eastAsia="en-US"/>
              </w:rPr>
              <w:t xml:space="preserve"> o</w:t>
            </w:r>
            <w:r w:rsidR="000D4703" w:rsidRPr="000D4703">
              <w:rPr>
                <w:rFonts w:eastAsia="Calibri"/>
                <w:sz w:val="28"/>
                <w:szCs w:val="28"/>
                <w:lang w:val="ro-RO" w:eastAsia="en-US"/>
              </w:rPr>
              <w:t>peratorul economic, altul decât cel înscris în Listă, care are drept administrator, fondator sau beneficiar efectiv persoana indicată în Listă conform pct.7 sbp.6) nu are dreptul să participe la procedurile de atribuire pe perioada înscrierii, iar autoritatea contractantă nu îi va atribui contracte de achiziții publice.</w:t>
            </w:r>
          </w:p>
        </w:tc>
      </w:tr>
      <w:tr w:rsidR="008306B9" w:rsidRPr="00922E6D" w:rsidTr="00840BC1">
        <w:tc>
          <w:tcPr>
            <w:tcW w:w="9606" w:type="dxa"/>
            <w:shd w:val="clear" w:color="auto" w:fill="BFBFBF" w:themeFill="background1" w:themeFillShade="BF"/>
          </w:tcPr>
          <w:p w:rsidR="008306B9" w:rsidRPr="00922E6D" w:rsidRDefault="008306B9" w:rsidP="008306B9">
            <w:pPr>
              <w:ind w:firstLine="447"/>
              <w:jc w:val="both"/>
              <w:rPr>
                <w:b/>
                <w:sz w:val="28"/>
                <w:szCs w:val="28"/>
                <w:lang w:val="ro-MD"/>
              </w:rPr>
            </w:pPr>
            <w:r w:rsidRPr="00922E6D">
              <w:rPr>
                <w:b/>
                <w:sz w:val="28"/>
                <w:szCs w:val="28"/>
                <w:lang w:val="ro-MD"/>
              </w:rPr>
              <w:lastRenderedPageBreak/>
              <w:t xml:space="preserve">Fundamentarea </w:t>
            </w:r>
            <w:proofErr w:type="spellStart"/>
            <w:r w:rsidRPr="00922E6D">
              <w:rPr>
                <w:b/>
                <w:sz w:val="28"/>
                <w:szCs w:val="28"/>
                <w:lang w:val="ro-MD"/>
              </w:rPr>
              <w:t>economico</w:t>
            </w:r>
            <w:proofErr w:type="spellEnd"/>
            <w:r w:rsidRPr="00922E6D">
              <w:rPr>
                <w:b/>
                <w:sz w:val="28"/>
                <w:szCs w:val="28"/>
                <w:lang w:val="ro-MD"/>
              </w:rPr>
              <w:t>-financiară</w:t>
            </w:r>
          </w:p>
        </w:tc>
      </w:tr>
      <w:tr w:rsidR="008306B9" w:rsidRPr="00605525" w:rsidTr="00840BC1">
        <w:tc>
          <w:tcPr>
            <w:tcW w:w="9606" w:type="dxa"/>
            <w:shd w:val="clear" w:color="auto" w:fill="FFFFFF" w:themeFill="background1"/>
          </w:tcPr>
          <w:p w:rsidR="008306B9" w:rsidRPr="00CC5639" w:rsidRDefault="008306B9" w:rsidP="00605525">
            <w:pPr>
              <w:shd w:val="clear" w:color="auto" w:fill="FFFFFF"/>
              <w:tabs>
                <w:tab w:val="left" w:pos="284"/>
                <w:tab w:val="left" w:pos="709"/>
                <w:tab w:val="left" w:pos="2093"/>
              </w:tabs>
              <w:spacing w:line="276" w:lineRule="auto"/>
              <w:ind w:right="64"/>
              <w:jc w:val="both"/>
              <w:rPr>
                <w:rFonts w:eastAsia="Calibri"/>
                <w:sz w:val="28"/>
                <w:szCs w:val="28"/>
                <w:lang w:val="ro-RO" w:eastAsia="en-US"/>
              </w:rPr>
            </w:pPr>
            <w:r w:rsidRPr="00CC5639">
              <w:rPr>
                <w:rFonts w:eastAsia="Calibri"/>
                <w:sz w:val="28"/>
                <w:szCs w:val="28"/>
                <w:lang w:val="ro-RO" w:eastAsia="en-US"/>
              </w:rPr>
              <w:t>Implementarea proiectului respectiv nu necesită alocarea unor mijloace financiare suplimentare din bugetul de stat.</w:t>
            </w:r>
          </w:p>
        </w:tc>
      </w:tr>
      <w:tr w:rsidR="008306B9" w:rsidRPr="00605525" w:rsidTr="00840BC1">
        <w:tc>
          <w:tcPr>
            <w:tcW w:w="9606" w:type="dxa"/>
            <w:shd w:val="clear" w:color="auto" w:fill="BFBFBF" w:themeFill="background1" w:themeFillShade="BF"/>
          </w:tcPr>
          <w:p w:rsidR="008306B9" w:rsidRPr="00CC5639" w:rsidRDefault="008306B9" w:rsidP="008306B9">
            <w:pPr>
              <w:ind w:firstLine="447"/>
              <w:jc w:val="both"/>
              <w:rPr>
                <w:rFonts w:eastAsia="Calibri"/>
                <w:b/>
                <w:sz w:val="28"/>
                <w:szCs w:val="28"/>
                <w:lang w:val="ro-RO" w:eastAsia="en-US"/>
              </w:rPr>
            </w:pPr>
            <w:r w:rsidRPr="00CC5639">
              <w:rPr>
                <w:rFonts w:eastAsia="Calibri"/>
                <w:b/>
                <w:sz w:val="28"/>
                <w:szCs w:val="28"/>
                <w:lang w:val="ro-RO" w:eastAsia="en-US"/>
              </w:rPr>
              <w:t>Modul de încorporare a actului în cadrul normativ în vigoare</w:t>
            </w:r>
          </w:p>
        </w:tc>
      </w:tr>
      <w:tr w:rsidR="008306B9" w:rsidRPr="00605525" w:rsidTr="00840BC1">
        <w:tc>
          <w:tcPr>
            <w:tcW w:w="9606" w:type="dxa"/>
            <w:shd w:val="clear" w:color="auto" w:fill="FFFFFF" w:themeFill="background1"/>
          </w:tcPr>
          <w:p w:rsidR="008306B9" w:rsidRPr="00CC5639" w:rsidRDefault="00A8336C" w:rsidP="00605525">
            <w:pPr>
              <w:shd w:val="clear" w:color="auto" w:fill="FFFFFF"/>
              <w:tabs>
                <w:tab w:val="left" w:pos="284"/>
                <w:tab w:val="left" w:pos="709"/>
                <w:tab w:val="left" w:pos="2093"/>
              </w:tabs>
              <w:spacing w:line="276" w:lineRule="auto"/>
              <w:ind w:right="64"/>
              <w:jc w:val="both"/>
              <w:rPr>
                <w:rFonts w:eastAsia="Calibri"/>
                <w:sz w:val="28"/>
                <w:szCs w:val="28"/>
                <w:lang w:val="ro-RO" w:eastAsia="en-US"/>
              </w:rPr>
            </w:pPr>
            <w:r w:rsidRPr="00CC5639">
              <w:rPr>
                <w:rFonts w:eastAsia="Calibri"/>
                <w:sz w:val="28"/>
                <w:szCs w:val="28"/>
                <w:lang w:val="ro-RO" w:eastAsia="en-US"/>
              </w:rPr>
              <w:t>P</w:t>
            </w:r>
            <w:r w:rsidR="008306B9" w:rsidRPr="00CC5639">
              <w:rPr>
                <w:rFonts w:eastAsia="Calibri"/>
                <w:sz w:val="28"/>
                <w:szCs w:val="28"/>
                <w:lang w:val="ro-RO" w:eastAsia="en-US"/>
              </w:rPr>
              <w:t>rezentul proiect este elaborat în contextul noilor modificări legislative</w:t>
            </w:r>
            <w:r w:rsidR="00602F6B" w:rsidRPr="00CC5639">
              <w:rPr>
                <w:rFonts w:eastAsia="Calibri"/>
                <w:sz w:val="28"/>
                <w:szCs w:val="28"/>
                <w:lang w:val="ro-RO" w:eastAsia="en-US"/>
              </w:rPr>
              <w:t>. R</w:t>
            </w:r>
            <w:r w:rsidR="008306B9" w:rsidRPr="00CC5639">
              <w:rPr>
                <w:rFonts w:eastAsia="Calibri"/>
                <w:sz w:val="28"/>
                <w:szCs w:val="28"/>
                <w:lang w:val="ro-RO" w:eastAsia="en-US"/>
              </w:rPr>
              <w:t xml:space="preserve">edacția nouă </w:t>
            </w:r>
            <w:r w:rsidR="00602F6B" w:rsidRPr="00CC5639">
              <w:rPr>
                <w:rFonts w:eastAsia="Calibri"/>
                <w:sz w:val="28"/>
                <w:szCs w:val="28"/>
                <w:lang w:val="ro-RO" w:eastAsia="en-US"/>
              </w:rPr>
              <w:t xml:space="preserve">a proiectului de hotărâre </w:t>
            </w:r>
            <w:r w:rsidR="00772530" w:rsidRPr="00CC5639">
              <w:rPr>
                <w:rFonts w:eastAsia="Calibri"/>
                <w:sz w:val="28"/>
                <w:szCs w:val="28"/>
                <w:lang w:val="ro-RO" w:eastAsia="en-US"/>
              </w:rPr>
              <w:t>vine să aducă</w:t>
            </w:r>
            <w:r w:rsidR="00602F6B" w:rsidRPr="00CC5639">
              <w:rPr>
                <w:rFonts w:eastAsia="Calibri"/>
                <w:sz w:val="28"/>
                <w:szCs w:val="28"/>
                <w:lang w:val="ro-RO" w:eastAsia="en-US"/>
              </w:rPr>
              <w:t xml:space="preserve"> </w:t>
            </w:r>
            <w:r w:rsidR="008306B9" w:rsidRPr="00CC5639">
              <w:rPr>
                <w:rFonts w:eastAsia="Calibri"/>
                <w:sz w:val="28"/>
                <w:szCs w:val="28"/>
                <w:lang w:val="ro-RO" w:eastAsia="en-US"/>
              </w:rPr>
              <w:t xml:space="preserve">schimbările și completările necesare </w:t>
            </w:r>
            <w:r w:rsidR="00E43DE1" w:rsidRPr="00CC5639">
              <w:rPr>
                <w:rFonts w:eastAsia="Calibri"/>
                <w:sz w:val="28"/>
                <w:szCs w:val="28"/>
                <w:lang w:val="ro-RO" w:eastAsia="en-US"/>
              </w:rPr>
              <w:t>privi</w:t>
            </w:r>
            <w:r w:rsidR="00CE1825" w:rsidRPr="00CC5639">
              <w:rPr>
                <w:rFonts w:eastAsia="Calibri"/>
                <w:sz w:val="28"/>
                <w:szCs w:val="28"/>
                <w:lang w:val="ro-RO" w:eastAsia="en-US"/>
              </w:rPr>
              <w:t>nd</w:t>
            </w:r>
            <w:r w:rsidR="00D8420D" w:rsidRPr="00CC5639">
              <w:rPr>
                <w:rFonts w:eastAsia="Calibri"/>
                <w:sz w:val="28"/>
                <w:szCs w:val="28"/>
                <w:lang w:val="ro-RO" w:eastAsia="en-US"/>
              </w:rPr>
              <w:t xml:space="preserve"> modul de în</w:t>
            </w:r>
            <w:r w:rsidR="00E43DE1" w:rsidRPr="00CC5639">
              <w:rPr>
                <w:rFonts w:eastAsia="Calibri"/>
                <w:sz w:val="28"/>
                <w:szCs w:val="28"/>
                <w:lang w:val="ro-RO" w:eastAsia="en-US"/>
              </w:rPr>
              <w:t xml:space="preserve">tocmire a Listei de </w:t>
            </w:r>
            <w:r w:rsidR="00597019" w:rsidRPr="00CC5639">
              <w:rPr>
                <w:rFonts w:eastAsia="Calibri"/>
                <w:sz w:val="28"/>
                <w:szCs w:val="28"/>
                <w:lang w:val="ro-RO" w:eastAsia="en-US"/>
              </w:rPr>
              <w:t>interdicție</w:t>
            </w:r>
            <w:r w:rsidR="00E43DE1" w:rsidRPr="00CC5639">
              <w:rPr>
                <w:rFonts w:eastAsia="Calibri"/>
                <w:sz w:val="28"/>
                <w:szCs w:val="28"/>
                <w:lang w:val="ro-RO" w:eastAsia="en-US"/>
              </w:rPr>
              <w:t xml:space="preserve"> </w:t>
            </w:r>
            <w:r w:rsidR="00D8420D" w:rsidRPr="00CC5639">
              <w:rPr>
                <w:rFonts w:eastAsia="Calibri"/>
                <w:sz w:val="28"/>
                <w:szCs w:val="28"/>
                <w:lang w:val="ro-RO" w:eastAsia="en-US"/>
              </w:rPr>
              <w:t>a operatorilor economici</w:t>
            </w:r>
            <w:r w:rsidR="00602F6B" w:rsidRPr="00CC5639">
              <w:rPr>
                <w:rFonts w:eastAsia="Calibri"/>
                <w:sz w:val="28"/>
                <w:szCs w:val="28"/>
                <w:lang w:val="ro-RO" w:eastAsia="en-US"/>
              </w:rPr>
              <w:t xml:space="preserve">, prin urmare </w:t>
            </w:r>
            <w:r w:rsidR="008306B9" w:rsidRPr="00CC5639">
              <w:rPr>
                <w:rFonts w:eastAsia="Calibri"/>
                <w:sz w:val="28"/>
                <w:szCs w:val="28"/>
                <w:lang w:val="ro-RO" w:eastAsia="en-US"/>
              </w:rPr>
              <w:t>se impune abrogarea actului normativ Hotărârea Guvernului nr.</w:t>
            </w:r>
            <w:r w:rsidR="00E43DE1" w:rsidRPr="00CC5639">
              <w:rPr>
                <w:rFonts w:eastAsia="Calibri"/>
                <w:sz w:val="28"/>
                <w:szCs w:val="28"/>
                <w:lang w:val="ro-RO" w:eastAsia="en-US"/>
              </w:rPr>
              <w:t>1418</w:t>
            </w:r>
            <w:r w:rsidR="008306B9" w:rsidRPr="00CC5639">
              <w:rPr>
                <w:rFonts w:eastAsia="Calibri"/>
                <w:sz w:val="28"/>
                <w:szCs w:val="28"/>
                <w:lang w:val="ro-RO" w:eastAsia="en-US"/>
              </w:rPr>
              <w:t>/2016.</w:t>
            </w:r>
          </w:p>
          <w:p w:rsidR="008306B9" w:rsidRPr="00CC5639" w:rsidRDefault="008306B9" w:rsidP="00605525">
            <w:pPr>
              <w:shd w:val="clear" w:color="auto" w:fill="FFFFFF"/>
              <w:tabs>
                <w:tab w:val="left" w:pos="284"/>
                <w:tab w:val="left" w:pos="709"/>
                <w:tab w:val="left" w:pos="2093"/>
              </w:tabs>
              <w:spacing w:line="276" w:lineRule="auto"/>
              <w:ind w:right="64"/>
              <w:jc w:val="both"/>
              <w:rPr>
                <w:rFonts w:eastAsia="Calibri"/>
                <w:sz w:val="28"/>
                <w:szCs w:val="28"/>
                <w:lang w:val="ro-RO" w:eastAsia="en-US"/>
              </w:rPr>
            </w:pPr>
            <w:r w:rsidRPr="00CC5639">
              <w:rPr>
                <w:rFonts w:eastAsia="Calibri"/>
                <w:sz w:val="28"/>
                <w:szCs w:val="28"/>
                <w:lang w:val="ro-RO" w:eastAsia="en-US"/>
              </w:rPr>
              <w:t xml:space="preserve">Ținând cont de </w:t>
            </w:r>
            <w:r w:rsidR="00E43DE1" w:rsidRPr="00CC5639">
              <w:rPr>
                <w:rFonts w:eastAsia="Calibri"/>
                <w:sz w:val="28"/>
                <w:szCs w:val="28"/>
                <w:lang w:val="ro-RO" w:eastAsia="en-US"/>
              </w:rPr>
              <w:t xml:space="preserve">prevederile art. </w:t>
            </w:r>
            <w:r w:rsidRPr="00CC5639">
              <w:rPr>
                <w:rFonts w:eastAsia="Calibri"/>
                <w:sz w:val="28"/>
                <w:szCs w:val="28"/>
                <w:lang w:val="ro-RO" w:eastAsia="en-US"/>
              </w:rPr>
              <w:t>I, alin. (</w:t>
            </w:r>
            <w:r w:rsidR="00E43DE1" w:rsidRPr="00CC5639">
              <w:rPr>
                <w:rFonts w:eastAsia="Calibri"/>
                <w:sz w:val="28"/>
                <w:szCs w:val="28"/>
                <w:lang w:val="ro-RO" w:eastAsia="en-US"/>
              </w:rPr>
              <w:t>9</w:t>
            </w:r>
            <w:r w:rsidRPr="00CC5639">
              <w:rPr>
                <w:rFonts w:eastAsia="Calibri"/>
                <w:sz w:val="28"/>
                <w:szCs w:val="28"/>
                <w:lang w:val="ro-RO" w:eastAsia="en-US"/>
              </w:rPr>
              <w:t>) din Legea nr.169/2018 pentru modificarea Legii nr.131/2015 privind achizițiile publice, se propune data intrării în vigoare a prezentei hotărâri</w:t>
            </w:r>
            <w:r w:rsidR="00772530" w:rsidRPr="00CC5639">
              <w:rPr>
                <w:rFonts w:eastAsia="Calibri"/>
                <w:sz w:val="28"/>
                <w:szCs w:val="28"/>
                <w:lang w:val="ro-RO" w:eastAsia="en-US"/>
              </w:rPr>
              <w:t xml:space="preserve"> la </w:t>
            </w:r>
            <w:r w:rsidRPr="00CC5639">
              <w:rPr>
                <w:rFonts w:eastAsia="Calibri"/>
                <w:sz w:val="28"/>
                <w:szCs w:val="28"/>
                <w:lang w:val="ro-RO" w:eastAsia="en-US"/>
              </w:rPr>
              <w:t>data publicării în Monitorul Oficial.</w:t>
            </w:r>
          </w:p>
        </w:tc>
      </w:tr>
      <w:tr w:rsidR="008306B9" w:rsidRPr="00605525" w:rsidTr="00840BC1">
        <w:tc>
          <w:tcPr>
            <w:tcW w:w="9606" w:type="dxa"/>
            <w:shd w:val="clear" w:color="auto" w:fill="BFBFBF" w:themeFill="background1" w:themeFillShade="BF"/>
          </w:tcPr>
          <w:p w:rsidR="008306B9" w:rsidRPr="00CC5639" w:rsidRDefault="008306B9" w:rsidP="008306B9">
            <w:pPr>
              <w:ind w:firstLine="447"/>
              <w:jc w:val="both"/>
              <w:rPr>
                <w:rFonts w:eastAsia="Calibri"/>
                <w:b/>
                <w:sz w:val="28"/>
                <w:szCs w:val="28"/>
                <w:lang w:val="ro-RO" w:eastAsia="en-US"/>
              </w:rPr>
            </w:pPr>
            <w:r w:rsidRPr="00CC5639">
              <w:rPr>
                <w:rFonts w:eastAsia="Calibri"/>
                <w:b/>
                <w:sz w:val="28"/>
                <w:szCs w:val="28"/>
                <w:lang w:val="ro-RO" w:eastAsia="en-US"/>
              </w:rPr>
              <w:t>Avizarea și consultarea publică a proiectului</w:t>
            </w:r>
          </w:p>
        </w:tc>
      </w:tr>
      <w:tr w:rsidR="008306B9" w:rsidRPr="00605525" w:rsidTr="000531ED">
        <w:tc>
          <w:tcPr>
            <w:tcW w:w="9606" w:type="dxa"/>
            <w:shd w:val="clear" w:color="auto" w:fill="FFFFFF" w:themeFill="background1"/>
          </w:tcPr>
          <w:p w:rsidR="00597019" w:rsidRPr="00CC5639" w:rsidRDefault="00597019" w:rsidP="00605525">
            <w:pPr>
              <w:spacing w:line="276" w:lineRule="auto"/>
              <w:jc w:val="both"/>
              <w:rPr>
                <w:rFonts w:eastAsia="Calibri"/>
                <w:sz w:val="28"/>
                <w:szCs w:val="28"/>
                <w:lang w:val="ro-RO" w:eastAsia="en-US"/>
              </w:rPr>
            </w:pPr>
            <w:r w:rsidRPr="00CC5639">
              <w:rPr>
                <w:rFonts w:eastAsia="Calibri"/>
                <w:sz w:val="28"/>
                <w:szCs w:val="28"/>
                <w:lang w:val="ro-RO" w:eastAsia="en-US"/>
              </w:rPr>
              <w:t>În scopul respectării prevederilor Legii nr.239 din 13 noiembrie 2008 privind transparența în procesul decizional, proiectul hotărârii este plasat pe pagina we</w:t>
            </w:r>
            <w:r w:rsidR="00FC4840" w:rsidRPr="00CC5639">
              <w:rPr>
                <w:rFonts w:eastAsia="Calibri"/>
                <w:sz w:val="28"/>
                <w:szCs w:val="28"/>
                <w:lang w:val="ro-RO" w:eastAsia="en-US"/>
              </w:rPr>
              <w:t>b oficială a Ministerului Finanț</w:t>
            </w:r>
            <w:r w:rsidRPr="00CC5639">
              <w:rPr>
                <w:rFonts w:eastAsia="Calibri"/>
                <w:sz w:val="28"/>
                <w:szCs w:val="28"/>
                <w:lang w:val="ro-RO" w:eastAsia="en-US"/>
              </w:rPr>
              <w:t xml:space="preserve">elor www.mf.gov.md, compartimentul Transparența </w:t>
            </w:r>
            <w:r w:rsidRPr="00CC5639">
              <w:rPr>
                <w:rFonts w:eastAsia="Calibri"/>
                <w:sz w:val="28"/>
                <w:szCs w:val="28"/>
                <w:lang w:val="ro-RO" w:eastAsia="en-US"/>
              </w:rPr>
              <w:lastRenderedPageBreak/>
              <w:t xml:space="preserve">decizională/Procesul decizional, cât și pe </w:t>
            </w:r>
            <w:hyperlink r:id="rId5" w:history="1">
              <w:r w:rsidRPr="007413A8">
                <w:rPr>
                  <w:rFonts w:eastAsia="Calibri"/>
                  <w:sz w:val="28"/>
                  <w:szCs w:val="28"/>
                  <w:lang w:val="en-US" w:eastAsia="en-US"/>
                </w:rPr>
                <w:t>www.particip.gov.md</w:t>
              </w:r>
            </w:hyperlink>
            <w:r w:rsidR="007413A8">
              <w:rPr>
                <w:rFonts w:eastAsia="Calibri"/>
                <w:sz w:val="28"/>
                <w:szCs w:val="28"/>
                <w:lang w:val="en-US" w:eastAsia="en-US"/>
              </w:rPr>
              <w:t xml:space="preserve"> </w:t>
            </w:r>
          </w:p>
          <w:p w:rsidR="008306B9" w:rsidRPr="00CC5639" w:rsidRDefault="00597019" w:rsidP="00605525">
            <w:pPr>
              <w:spacing w:line="276" w:lineRule="auto"/>
              <w:jc w:val="both"/>
              <w:rPr>
                <w:rFonts w:eastAsia="Calibri"/>
                <w:sz w:val="28"/>
                <w:szCs w:val="28"/>
                <w:lang w:val="ro-RO" w:eastAsia="en-US"/>
              </w:rPr>
            </w:pPr>
            <w:r w:rsidRPr="00CC5639">
              <w:rPr>
                <w:rFonts w:eastAsia="Calibri"/>
                <w:sz w:val="28"/>
                <w:szCs w:val="28"/>
                <w:lang w:val="ro-RO" w:eastAsia="en-US"/>
              </w:rPr>
              <w:t xml:space="preserve">Proiectul </w:t>
            </w:r>
            <w:r w:rsidR="00060231" w:rsidRPr="00CC5639">
              <w:rPr>
                <w:rFonts w:eastAsia="Calibri"/>
                <w:sz w:val="28"/>
                <w:szCs w:val="28"/>
                <w:lang w:val="ro-RO" w:eastAsia="en-US"/>
              </w:rPr>
              <w:t>a fost remis</w:t>
            </w:r>
            <w:r w:rsidRPr="00CC5639">
              <w:rPr>
                <w:rFonts w:eastAsia="Calibri"/>
                <w:sz w:val="28"/>
                <w:szCs w:val="28"/>
                <w:lang w:val="ro-RO" w:eastAsia="en-US"/>
              </w:rPr>
              <w:t xml:space="preserve"> spre avizare și consultare  </w:t>
            </w:r>
            <w:r w:rsidR="00CE1825" w:rsidRPr="00CC5639">
              <w:rPr>
                <w:rFonts w:eastAsia="Calibri"/>
                <w:sz w:val="28"/>
                <w:szCs w:val="28"/>
                <w:lang w:val="ro-RO" w:eastAsia="en-US"/>
              </w:rPr>
              <w:t xml:space="preserve">Autorităților Publice Centrale, </w:t>
            </w:r>
            <w:r w:rsidRPr="00CC5639">
              <w:rPr>
                <w:rFonts w:eastAsia="Calibri"/>
                <w:sz w:val="28"/>
                <w:szCs w:val="28"/>
                <w:lang w:val="ro-RO" w:eastAsia="en-US"/>
              </w:rPr>
              <w:t>Agenției Naționale pentru Soluționarea Contestațiilor, Consiliului Concurenței, Centrul Național Anticorupție.</w:t>
            </w:r>
          </w:p>
        </w:tc>
      </w:tr>
      <w:tr w:rsidR="00060231" w:rsidRPr="00060231" w:rsidTr="00060231">
        <w:tc>
          <w:tcPr>
            <w:tcW w:w="9606" w:type="dxa"/>
            <w:shd w:val="clear" w:color="auto" w:fill="D0CECE" w:themeFill="background2" w:themeFillShade="E6"/>
          </w:tcPr>
          <w:p w:rsidR="00060231" w:rsidRPr="00CC5639" w:rsidRDefault="00060231" w:rsidP="00597019">
            <w:pPr>
              <w:jc w:val="both"/>
              <w:rPr>
                <w:rFonts w:eastAsia="Calibri"/>
                <w:b/>
                <w:sz w:val="28"/>
                <w:szCs w:val="28"/>
                <w:lang w:val="ro-RO" w:eastAsia="en-US"/>
              </w:rPr>
            </w:pPr>
            <w:r w:rsidRPr="00CC5639">
              <w:rPr>
                <w:rFonts w:eastAsia="Calibri"/>
                <w:b/>
                <w:sz w:val="28"/>
                <w:szCs w:val="28"/>
                <w:lang w:val="ro-RO" w:eastAsia="en-US"/>
              </w:rPr>
              <w:lastRenderedPageBreak/>
              <w:t>Constatările expertizei anticorupție</w:t>
            </w:r>
          </w:p>
        </w:tc>
      </w:tr>
      <w:tr w:rsidR="00060231" w:rsidRPr="00605525" w:rsidTr="000531ED">
        <w:tc>
          <w:tcPr>
            <w:tcW w:w="9606" w:type="dxa"/>
            <w:shd w:val="clear" w:color="auto" w:fill="FFFFFF" w:themeFill="background1"/>
          </w:tcPr>
          <w:p w:rsidR="00060231" w:rsidRPr="00CC5639" w:rsidRDefault="00060231" w:rsidP="00605525">
            <w:pPr>
              <w:spacing w:line="276" w:lineRule="auto"/>
              <w:jc w:val="both"/>
              <w:rPr>
                <w:rFonts w:eastAsia="Calibri"/>
                <w:sz w:val="28"/>
                <w:szCs w:val="28"/>
                <w:lang w:val="ro-RO" w:eastAsia="en-US"/>
              </w:rPr>
            </w:pPr>
            <w:bookmarkStart w:id="0" w:name="_GoBack"/>
            <w:r w:rsidRPr="00CC5639">
              <w:rPr>
                <w:rFonts w:eastAsia="Calibri"/>
                <w:sz w:val="28"/>
                <w:szCs w:val="28"/>
                <w:lang w:val="ro-RO" w:eastAsia="en-US"/>
              </w:rPr>
              <w:t xml:space="preserve">În proiect au fost </w:t>
            </w:r>
            <w:proofErr w:type="spellStart"/>
            <w:r w:rsidRPr="00CC5639">
              <w:rPr>
                <w:rFonts w:eastAsia="Calibri"/>
                <w:sz w:val="28"/>
                <w:szCs w:val="28"/>
                <w:lang w:val="ro-RO" w:eastAsia="en-US"/>
              </w:rPr>
              <w:t>identificaţi</w:t>
            </w:r>
            <w:proofErr w:type="spellEnd"/>
            <w:r w:rsidRPr="00CC5639">
              <w:rPr>
                <w:rFonts w:eastAsia="Calibri"/>
                <w:sz w:val="28"/>
                <w:szCs w:val="28"/>
                <w:lang w:val="ro-RO" w:eastAsia="en-US"/>
              </w:rPr>
              <w:t xml:space="preserve"> factori de risc care sunt de natură să genereze riscuri de </w:t>
            </w:r>
            <w:proofErr w:type="spellStart"/>
            <w:r w:rsidRPr="00CC5639">
              <w:rPr>
                <w:rFonts w:eastAsia="Calibri"/>
                <w:sz w:val="28"/>
                <w:szCs w:val="28"/>
                <w:lang w:val="ro-RO" w:eastAsia="en-US"/>
              </w:rPr>
              <w:t>corupţie</w:t>
            </w:r>
            <w:proofErr w:type="spellEnd"/>
            <w:r w:rsidRPr="00CC5639">
              <w:rPr>
                <w:rFonts w:eastAsia="Calibri"/>
                <w:sz w:val="28"/>
                <w:szCs w:val="28"/>
                <w:lang w:val="ro-RO" w:eastAsia="en-US"/>
              </w:rPr>
              <w:t xml:space="preserve">. în acest sens se remarcă mai multe formulări ambigue utilizate în proiect: utilizarea într-un mod neclar a expresiei „poate fi în scris reglementarea neclară a „suspendării termenului de examinare expunerea ambiguă a </w:t>
            </w:r>
            <w:proofErr w:type="spellStart"/>
            <w:r w:rsidRPr="00CC5639">
              <w:rPr>
                <w:rFonts w:eastAsia="Calibri"/>
                <w:sz w:val="28"/>
                <w:szCs w:val="28"/>
                <w:lang w:val="ro-RO" w:eastAsia="en-US"/>
              </w:rPr>
              <w:t>necesităţii</w:t>
            </w:r>
            <w:proofErr w:type="spellEnd"/>
            <w:r w:rsidRPr="00CC5639">
              <w:rPr>
                <w:rFonts w:eastAsia="Calibri"/>
                <w:sz w:val="28"/>
                <w:szCs w:val="28"/>
                <w:lang w:val="ro-RO" w:eastAsia="en-US"/>
              </w:rPr>
              <w:t xml:space="preserve"> întrunirii doar a unui temei sau a tuturor temeiurilor de înscriere în Lista de </w:t>
            </w:r>
            <w:proofErr w:type="spellStart"/>
            <w:r w:rsidRPr="00CC5639">
              <w:rPr>
                <w:rFonts w:eastAsia="Calibri"/>
                <w:sz w:val="28"/>
                <w:szCs w:val="28"/>
                <w:lang w:val="ro-RO" w:eastAsia="en-US"/>
              </w:rPr>
              <w:t>interdicţie</w:t>
            </w:r>
            <w:proofErr w:type="spellEnd"/>
            <w:r w:rsidRPr="00CC5639">
              <w:rPr>
                <w:rFonts w:eastAsia="Calibri"/>
                <w:sz w:val="28"/>
                <w:szCs w:val="28"/>
                <w:lang w:val="ro-RO" w:eastAsia="en-US"/>
              </w:rPr>
              <w:t xml:space="preserve">. Totodată, proiectul este lacunar în </w:t>
            </w:r>
            <w:proofErr w:type="spellStart"/>
            <w:r w:rsidRPr="00CC5639">
              <w:rPr>
                <w:rFonts w:eastAsia="Calibri"/>
                <w:sz w:val="28"/>
                <w:szCs w:val="28"/>
                <w:lang w:val="ro-RO" w:eastAsia="en-US"/>
              </w:rPr>
              <w:t>privinţa</w:t>
            </w:r>
            <w:proofErr w:type="spellEnd"/>
            <w:r w:rsidRPr="00CC5639">
              <w:rPr>
                <w:rFonts w:eastAsia="Calibri"/>
                <w:sz w:val="28"/>
                <w:szCs w:val="28"/>
                <w:lang w:val="ro-RO" w:eastAsia="en-US"/>
              </w:rPr>
              <w:t xml:space="preserve"> procedurii de revocare a deciziei </w:t>
            </w:r>
            <w:proofErr w:type="spellStart"/>
            <w:r w:rsidRPr="00CC5639">
              <w:rPr>
                <w:rFonts w:eastAsia="Calibri"/>
                <w:sz w:val="28"/>
                <w:szCs w:val="28"/>
                <w:lang w:val="ro-RO" w:eastAsia="en-US"/>
              </w:rPr>
              <w:t>Agenţiei</w:t>
            </w:r>
            <w:proofErr w:type="spellEnd"/>
            <w:r w:rsidRPr="00CC5639">
              <w:rPr>
                <w:rFonts w:eastAsia="Calibri"/>
                <w:sz w:val="28"/>
                <w:szCs w:val="28"/>
                <w:lang w:val="ro-RO" w:eastAsia="en-US"/>
              </w:rPr>
              <w:t xml:space="preserve"> </w:t>
            </w:r>
            <w:proofErr w:type="spellStart"/>
            <w:r w:rsidRPr="00CC5639">
              <w:rPr>
                <w:rFonts w:eastAsia="Calibri"/>
                <w:sz w:val="28"/>
                <w:szCs w:val="28"/>
                <w:lang w:val="ro-RO" w:eastAsia="en-US"/>
              </w:rPr>
              <w:t>Achiziţii</w:t>
            </w:r>
            <w:proofErr w:type="spellEnd"/>
            <w:r w:rsidRPr="00CC5639">
              <w:rPr>
                <w:rFonts w:eastAsia="Calibri"/>
                <w:sz w:val="28"/>
                <w:szCs w:val="28"/>
                <w:lang w:val="ro-RO" w:eastAsia="en-US"/>
              </w:rPr>
              <w:t xml:space="preserve"> Publice prin care a decis includerea operatorului economic în Lista de </w:t>
            </w:r>
            <w:proofErr w:type="spellStart"/>
            <w:r w:rsidRPr="00CC5639">
              <w:rPr>
                <w:rFonts w:eastAsia="Calibri"/>
                <w:sz w:val="28"/>
                <w:szCs w:val="28"/>
                <w:lang w:val="ro-RO" w:eastAsia="en-US"/>
              </w:rPr>
              <w:t>interdicţie</w:t>
            </w:r>
            <w:proofErr w:type="spellEnd"/>
            <w:r w:rsidRPr="00CC5639">
              <w:rPr>
                <w:rFonts w:eastAsia="Calibri"/>
                <w:sz w:val="28"/>
                <w:szCs w:val="28"/>
                <w:lang w:val="ro-RO" w:eastAsia="en-US"/>
              </w:rPr>
              <w:t xml:space="preserve">. </w:t>
            </w:r>
          </w:p>
          <w:p w:rsidR="00060231" w:rsidRPr="00CC5639" w:rsidRDefault="005668B9" w:rsidP="00605525">
            <w:pPr>
              <w:spacing w:line="276" w:lineRule="auto"/>
              <w:jc w:val="both"/>
              <w:rPr>
                <w:rFonts w:eastAsia="Calibri"/>
                <w:sz w:val="28"/>
                <w:szCs w:val="28"/>
                <w:lang w:val="ro-RO" w:eastAsia="en-US"/>
              </w:rPr>
            </w:pPr>
            <w:r w:rsidRPr="00CC5639">
              <w:rPr>
                <w:rFonts w:eastAsia="Calibri"/>
                <w:sz w:val="28"/>
                <w:szCs w:val="28"/>
                <w:lang w:val="ro-RO" w:eastAsia="en-US"/>
              </w:rPr>
              <w:t>P</w:t>
            </w:r>
            <w:r w:rsidR="00060231" w:rsidRPr="00CC5639">
              <w:rPr>
                <w:rFonts w:eastAsia="Calibri"/>
                <w:sz w:val="28"/>
                <w:szCs w:val="28"/>
                <w:lang w:val="ro-RO" w:eastAsia="en-US"/>
              </w:rPr>
              <w:t>ropunerile din raportul de expertiză au fost acceptate</w:t>
            </w:r>
            <w:r w:rsidRPr="00CC5639">
              <w:rPr>
                <w:rFonts w:eastAsia="Calibri"/>
                <w:sz w:val="28"/>
                <w:szCs w:val="28"/>
                <w:lang w:val="ro-RO" w:eastAsia="en-US"/>
              </w:rPr>
              <w:t xml:space="preserve"> și incluse în</w:t>
            </w:r>
            <w:r w:rsidR="00060231" w:rsidRPr="00CC5639">
              <w:rPr>
                <w:rFonts w:eastAsia="Calibri"/>
                <w:sz w:val="28"/>
                <w:szCs w:val="28"/>
                <w:lang w:val="ro-RO" w:eastAsia="en-US"/>
              </w:rPr>
              <w:t xml:space="preserve"> </w:t>
            </w:r>
            <w:r w:rsidRPr="00CC5639">
              <w:rPr>
                <w:rFonts w:eastAsia="Calibri"/>
                <w:sz w:val="28"/>
                <w:szCs w:val="28"/>
                <w:lang w:val="ro-RO" w:eastAsia="en-US"/>
              </w:rPr>
              <w:t>proiect</w:t>
            </w:r>
            <w:r w:rsidR="00060231" w:rsidRPr="00CC5639">
              <w:rPr>
                <w:rFonts w:eastAsia="Calibri"/>
                <w:sz w:val="28"/>
                <w:szCs w:val="28"/>
                <w:lang w:val="ro-RO" w:eastAsia="en-US"/>
              </w:rPr>
              <w:t>.</w:t>
            </w:r>
            <w:bookmarkEnd w:id="0"/>
          </w:p>
        </w:tc>
      </w:tr>
      <w:tr w:rsidR="00060231" w:rsidRPr="00060231" w:rsidTr="00060231">
        <w:tc>
          <w:tcPr>
            <w:tcW w:w="9606" w:type="dxa"/>
            <w:shd w:val="clear" w:color="auto" w:fill="D0CECE" w:themeFill="background2" w:themeFillShade="E6"/>
          </w:tcPr>
          <w:p w:rsidR="00060231" w:rsidRPr="00CC5639" w:rsidRDefault="00060231" w:rsidP="00597019">
            <w:pPr>
              <w:jc w:val="both"/>
              <w:rPr>
                <w:rFonts w:eastAsia="Calibri"/>
                <w:b/>
                <w:sz w:val="28"/>
                <w:szCs w:val="28"/>
                <w:lang w:val="ro-RO" w:eastAsia="en-US"/>
              </w:rPr>
            </w:pPr>
            <w:r w:rsidRPr="00CC5639">
              <w:rPr>
                <w:rFonts w:eastAsia="Calibri"/>
                <w:b/>
                <w:sz w:val="28"/>
                <w:szCs w:val="28"/>
                <w:lang w:val="ro-RO" w:eastAsia="en-US"/>
              </w:rPr>
              <w:t>Constatările expertizei juridice</w:t>
            </w:r>
          </w:p>
        </w:tc>
      </w:tr>
      <w:tr w:rsidR="00060231" w:rsidRPr="00605525" w:rsidTr="000531ED">
        <w:tc>
          <w:tcPr>
            <w:tcW w:w="9606" w:type="dxa"/>
            <w:shd w:val="clear" w:color="auto" w:fill="FFFFFF" w:themeFill="background1"/>
          </w:tcPr>
          <w:p w:rsidR="00060231" w:rsidRPr="00CC5639" w:rsidRDefault="00060231" w:rsidP="00597019">
            <w:pPr>
              <w:jc w:val="both"/>
              <w:rPr>
                <w:rFonts w:eastAsia="Calibri"/>
                <w:sz w:val="28"/>
                <w:szCs w:val="28"/>
                <w:lang w:val="ro-RO" w:eastAsia="en-US"/>
              </w:rPr>
            </w:pPr>
            <w:r w:rsidRPr="00CC5639">
              <w:rPr>
                <w:rFonts w:eastAsia="Calibri"/>
                <w:sz w:val="28"/>
                <w:szCs w:val="28"/>
                <w:lang w:val="ro-RO" w:eastAsia="en-US"/>
              </w:rPr>
              <w:t>Propunerile din expertiza juridică au fost evaluate și acceptate.</w:t>
            </w:r>
          </w:p>
        </w:tc>
      </w:tr>
    </w:tbl>
    <w:p w:rsidR="00E91A40" w:rsidRDefault="00E91A40" w:rsidP="00917289">
      <w:pPr>
        <w:rPr>
          <w:b/>
          <w:sz w:val="32"/>
          <w:lang w:val="ro-MD"/>
        </w:rPr>
      </w:pPr>
    </w:p>
    <w:p w:rsidR="000D4703" w:rsidRPr="00922E6D" w:rsidRDefault="000D4703" w:rsidP="00917289">
      <w:pPr>
        <w:rPr>
          <w:b/>
          <w:sz w:val="32"/>
          <w:lang w:val="ro-MD"/>
        </w:rPr>
      </w:pPr>
    </w:p>
    <w:p w:rsidR="00AD63E3" w:rsidRPr="007413A8" w:rsidRDefault="00EA70C0" w:rsidP="001B31BA">
      <w:pPr>
        <w:rPr>
          <w:b/>
          <w:sz w:val="32"/>
          <w:szCs w:val="32"/>
          <w:lang w:val="ro-MD"/>
        </w:rPr>
      </w:pPr>
      <w:r w:rsidRPr="007413A8">
        <w:rPr>
          <w:b/>
          <w:bCs/>
          <w:color w:val="000000"/>
          <w:sz w:val="32"/>
          <w:szCs w:val="32"/>
          <w:lang w:val="ro-MD"/>
        </w:rPr>
        <w:t>Ministru al Finanțelor</w:t>
      </w:r>
      <w:r w:rsidR="000D4703" w:rsidRPr="007413A8">
        <w:rPr>
          <w:b/>
          <w:bCs/>
          <w:color w:val="000000"/>
          <w:sz w:val="32"/>
          <w:szCs w:val="32"/>
          <w:lang w:val="ro-MD"/>
        </w:rPr>
        <w:t xml:space="preserve">                                   </w:t>
      </w:r>
      <w:r w:rsidRPr="007413A8">
        <w:rPr>
          <w:b/>
          <w:bCs/>
          <w:color w:val="000000"/>
          <w:sz w:val="32"/>
          <w:szCs w:val="32"/>
          <w:lang w:val="ro-MD"/>
        </w:rPr>
        <w:t>Dumitru BUDIANSCHI</w:t>
      </w:r>
    </w:p>
    <w:sectPr w:rsidR="00AD63E3" w:rsidRPr="007413A8" w:rsidSect="00CC5639">
      <w:pgSz w:w="11906" w:h="16838"/>
      <w:pgMar w:top="1135" w:right="1133"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7E4D"/>
    <w:multiLevelType w:val="hybridMultilevel"/>
    <w:tmpl w:val="6B7E3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DD4B23"/>
    <w:multiLevelType w:val="hybridMultilevel"/>
    <w:tmpl w:val="6FFA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00060"/>
    <w:multiLevelType w:val="hybridMultilevel"/>
    <w:tmpl w:val="064AADBC"/>
    <w:lvl w:ilvl="0" w:tplc="CB88B03E">
      <w:start w:val="1"/>
      <w:numFmt w:val="decimal"/>
      <w:lvlText w:val="%1."/>
      <w:lvlJc w:val="left"/>
      <w:pPr>
        <w:ind w:left="1080" w:hanging="360"/>
      </w:pPr>
      <w:rPr>
        <w:b/>
      </w:rPr>
    </w:lvl>
    <w:lvl w:ilvl="1" w:tplc="B7D885FA">
      <w:start w:val="1"/>
      <w:numFmt w:val="decimal"/>
      <w:pStyle w:val="Titlu2"/>
      <w:lvlText w:val="%2."/>
      <w:lvlJc w:val="left"/>
      <w:pPr>
        <w:ind w:left="1233" w:hanging="360"/>
      </w:pPr>
      <w:rPr>
        <w:rFonts w:hint="default"/>
        <w:b/>
      </w:rPr>
    </w:lvl>
    <w:lvl w:ilvl="2" w:tplc="C4C0B196">
      <w:start w:val="1"/>
      <w:numFmt w:val="decimal"/>
      <w:lvlText w:val="%3)"/>
      <w:lvlJc w:val="left"/>
      <w:pPr>
        <w:ind w:left="5464" w:hanging="360"/>
      </w:pPr>
      <w:rPr>
        <w:rFonts w:hint="default"/>
      </w:r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3" w15:restartNumberingAfterBreak="0">
    <w:nsid w:val="1725190C"/>
    <w:multiLevelType w:val="hybridMultilevel"/>
    <w:tmpl w:val="30800F24"/>
    <w:lvl w:ilvl="0" w:tplc="047203A6">
      <w:start w:val="2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F5496C"/>
    <w:multiLevelType w:val="hybridMultilevel"/>
    <w:tmpl w:val="55B226F8"/>
    <w:lvl w:ilvl="0" w:tplc="9A02B730">
      <w:start w:val="2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892134"/>
    <w:multiLevelType w:val="hybridMultilevel"/>
    <w:tmpl w:val="D36C97D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9F18CA"/>
    <w:multiLevelType w:val="multilevel"/>
    <w:tmpl w:val="0409001D"/>
    <w:styleLink w:val="1ai"/>
    <w:lvl w:ilvl="0">
      <w:start w:val="1"/>
      <w:numFmt w:val="decimal"/>
      <w:pStyle w:val="Reg-Alineat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C93735"/>
    <w:multiLevelType w:val="hybridMultilevel"/>
    <w:tmpl w:val="CF58FE8A"/>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E0A7D37"/>
    <w:multiLevelType w:val="hybridMultilevel"/>
    <w:tmpl w:val="CF58FE8A"/>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C0678C5"/>
    <w:multiLevelType w:val="hybridMultilevel"/>
    <w:tmpl w:val="DA98A0A4"/>
    <w:lvl w:ilvl="0" w:tplc="7576A2D8">
      <w:start w:val="1"/>
      <w:numFmt w:val="decimal"/>
      <w:lvlText w:val="%1)"/>
      <w:lvlJc w:val="left"/>
      <w:pPr>
        <w:ind w:left="954" w:hanging="360"/>
      </w:pPr>
      <w:rPr>
        <w:rFonts w:hint="default"/>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10" w15:restartNumberingAfterBreak="0">
    <w:nsid w:val="41581D6C"/>
    <w:multiLevelType w:val="hybridMultilevel"/>
    <w:tmpl w:val="DB48F74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53D14610"/>
    <w:multiLevelType w:val="multilevel"/>
    <w:tmpl w:val="0409001D"/>
    <w:numStyleLink w:val="1ai"/>
  </w:abstractNum>
  <w:abstractNum w:abstractNumId="12" w15:restartNumberingAfterBreak="0">
    <w:nsid w:val="53D428FF"/>
    <w:multiLevelType w:val="hybridMultilevel"/>
    <w:tmpl w:val="D2F6D2FC"/>
    <w:lvl w:ilvl="0" w:tplc="08169572">
      <w:start w:val="1"/>
      <w:numFmt w:val="bullet"/>
      <w:lvlText w:val="-"/>
      <w:lvlJc w:val="left"/>
      <w:pPr>
        <w:ind w:left="1428" w:hanging="360"/>
      </w:pPr>
      <w:rPr>
        <w:rFonts w:ascii="Sylfaen" w:hAnsi="Sylfae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59F71CAD"/>
    <w:multiLevelType w:val="hybridMultilevel"/>
    <w:tmpl w:val="8696C7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BC5487"/>
    <w:multiLevelType w:val="hybridMultilevel"/>
    <w:tmpl w:val="96A4BD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86"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CA6ABE"/>
    <w:multiLevelType w:val="hybridMultilevel"/>
    <w:tmpl w:val="9864AAB0"/>
    <w:lvl w:ilvl="0" w:tplc="0E52B136">
      <w:start w:val="1"/>
      <w:numFmt w:val="decimal"/>
      <w:lvlText w:val="%1."/>
      <w:lvlJc w:val="left"/>
      <w:pPr>
        <w:ind w:left="360" w:hanging="360"/>
      </w:pPr>
      <w:rPr>
        <w:rFonts w:ascii="Times New Roman" w:hAnsi="Times New Roman" w:cs="Times New Roman"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F5364B8"/>
    <w:multiLevelType w:val="hybridMultilevel"/>
    <w:tmpl w:val="9E92F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num>
  <w:num w:numId="3">
    <w:abstractNumId w:val="13"/>
  </w:num>
  <w:num w:numId="4">
    <w:abstractNumId w:val="14"/>
  </w:num>
  <w:num w:numId="5">
    <w:abstractNumId w:val="10"/>
  </w:num>
  <w:num w:numId="6">
    <w:abstractNumId w:val="8"/>
  </w:num>
  <w:num w:numId="7">
    <w:abstractNumId w:val="9"/>
  </w:num>
  <w:num w:numId="8">
    <w:abstractNumId w:val="7"/>
  </w:num>
  <w:num w:numId="9">
    <w:abstractNumId w:val="2"/>
  </w:num>
  <w:num w:numId="10">
    <w:abstractNumId w:val="6"/>
  </w:num>
  <w:num w:numId="11">
    <w:abstractNumId w:val="11"/>
    <w:lvlOverride w:ilvl="0">
      <w:lvl w:ilvl="0">
        <w:start w:val="1"/>
        <w:numFmt w:val="decimal"/>
        <w:pStyle w:val="Reg-Alineat1"/>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val="0"/>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2">
    <w:abstractNumId w:val="0"/>
  </w:num>
  <w:num w:numId="13">
    <w:abstractNumId w:val="15"/>
  </w:num>
  <w:num w:numId="14">
    <w:abstractNumId w:val="16"/>
  </w:num>
  <w:num w:numId="15">
    <w:abstractNumId w:val="5"/>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14"/>
    <w:rsid w:val="00000153"/>
    <w:rsid w:val="0000059F"/>
    <w:rsid w:val="00006DA0"/>
    <w:rsid w:val="00012F3B"/>
    <w:rsid w:val="0003341C"/>
    <w:rsid w:val="000531ED"/>
    <w:rsid w:val="00060231"/>
    <w:rsid w:val="0006723D"/>
    <w:rsid w:val="00086F6E"/>
    <w:rsid w:val="00092623"/>
    <w:rsid w:val="000A7D10"/>
    <w:rsid w:val="000A7E8F"/>
    <w:rsid w:val="000B0891"/>
    <w:rsid w:val="000B527C"/>
    <w:rsid w:val="000D4703"/>
    <w:rsid w:val="000D4B10"/>
    <w:rsid w:val="000F0FCD"/>
    <w:rsid w:val="000F761B"/>
    <w:rsid w:val="0018002B"/>
    <w:rsid w:val="001B08C5"/>
    <w:rsid w:val="001B31BA"/>
    <w:rsid w:val="001E039F"/>
    <w:rsid w:val="0020534D"/>
    <w:rsid w:val="00206EAC"/>
    <w:rsid w:val="00210F22"/>
    <w:rsid w:val="00225B93"/>
    <w:rsid w:val="002312E0"/>
    <w:rsid w:val="002359E2"/>
    <w:rsid w:val="00253FA5"/>
    <w:rsid w:val="00257B0B"/>
    <w:rsid w:val="00271471"/>
    <w:rsid w:val="0027697E"/>
    <w:rsid w:val="00280205"/>
    <w:rsid w:val="0028724F"/>
    <w:rsid w:val="0029318F"/>
    <w:rsid w:val="00295E61"/>
    <w:rsid w:val="002A51A8"/>
    <w:rsid w:val="002D71AC"/>
    <w:rsid w:val="002F0164"/>
    <w:rsid w:val="00305640"/>
    <w:rsid w:val="00332838"/>
    <w:rsid w:val="00355E87"/>
    <w:rsid w:val="00366402"/>
    <w:rsid w:val="00377A01"/>
    <w:rsid w:val="0038524D"/>
    <w:rsid w:val="00394756"/>
    <w:rsid w:val="003A10EF"/>
    <w:rsid w:val="003A4306"/>
    <w:rsid w:val="003B474E"/>
    <w:rsid w:val="003D4784"/>
    <w:rsid w:val="00410DC6"/>
    <w:rsid w:val="00441D40"/>
    <w:rsid w:val="004437E7"/>
    <w:rsid w:val="00443D23"/>
    <w:rsid w:val="00446B75"/>
    <w:rsid w:val="00456A17"/>
    <w:rsid w:val="00466B03"/>
    <w:rsid w:val="0047035E"/>
    <w:rsid w:val="004A6B27"/>
    <w:rsid w:val="004B5CB1"/>
    <w:rsid w:val="004E0BFF"/>
    <w:rsid w:val="0052500B"/>
    <w:rsid w:val="005668B9"/>
    <w:rsid w:val="00572A75"/>
    <w:rsid w:val="00572CEF"/>
    <w:rsid w:val="0058183F"/>
    <w:rsid w:val="005955FD"/>
    <w:rsid w:val="00597019"/>
    <w:rsid w:val="005B208F"/>
    <w:rsid w:val="005C4E40"/>
    <w:rsid w:val="005D11CD"/>
    <w:rsid w:val="005D1A26"/>
    <w:rsid w:val="005D3D73"/>
    <w:rsid w:val="005E2669"/>
    <w:rsid w:val="00601CDB"/>
    <w:rsid w:val="00602DAE"/>
    <w:rsid w:val="00602F6B"/>
    <w:rsid w:val="00605525"/>
    <w:rsid w:val="006077E8"/>
    <w:rsid w:val="0061263B"/>
    <w:rsid w:val="00637705"/>
    <w:rsid w:val="00646E1E"/>
    <w:rsid w:val="00652282"/>
    <w:rsid w:val="00663714"/>
    <w:rsid w:val="00663E81"/>
    <w:rsid w:val="00664E06"/>
    <w:rsid w:val="00677912"/>
    <w:rsid w:val="00690012"/>
    <w:rsid w:val="006970C4"/>
    <w:rsid w:val="006C390F"/>
    <w:rsid w:val="006C4E09"/>
    <w:rsid w:val="006D2317"/>
    <w:rsid w:val="006D37D3"/>
    <w:rsid w:val="006D7945"/>
    <w:rsid w:val="006E6EE5"/>
    <w:rsid w:val="006F797A"/>
    <w:rsid w:val="00714F3A"/>
    <w:rsid w:val="00734FF4"/>
    <w:rsid w:val="007413A8"/>
    <w:rsid w:val="00760B43"/>
    <w:rsid w:val="007658B0"/>
    <w:rsid w:val="007716BE"/>
    <w:rsid w:val="00772530"/>
    <w:rsid w:val="007A4ABA"/>
    <w:rsid w:val="007A566F"/>
    <w:rsid w:val="007A6D21"/>
    <w:rsid w:val="007C5FAC"/>
    <w:rsid w:val="007C769B"/>
    <w:rsid w:val="007F09AD"/>
    <w:rsid w:val="00817830"/>
    <w:rsid w:val="00827E55"/>
    <w:rsid w:val="008306B9"/>
    <w:rsid w:val="00835B97"/>
    <w:rsid w:val="00837174"/>
    <w:rsid w:val="00840BC1"/>
    <w:rsid w:val="00843062"/>
    <w:rsid w:val="008507EF"/>
    <w:rsid w:val="00857A03"/>
    <w:rsid w:val="00860D63"/>
    <w:rsid w:val="00861E95"/>
    <w:rsid w:val="008813EF"/>
    <w:rsid w:val="008C537C"/>
    <w:rsid w:val="008E3923"/>
    <w:rsid w:val="008E644B"/>
    <w:rsid w:val="008F1943"/>
    <w:rsid w:val="008F1F29"/>
    <w:rsid w:val="00905933"/>
    <w:rsid w:val="009068CA"/>
    <w:rsid w:val="00906C82"/>
    <w:rsid w:val="009114DC"/>
    <w:rsid w:val="00911A15"/>
    <w:rsid w:val="00917289"/>
    <w:rsid w:val="00922E6D"/>
    <w:rsid w:val="00936803"/>
    <w:rsid w:val="00950EE5"/>
    <w:rsid w:val="00955B26"/>
    <w:rsid w:val="00981550"/>
    <w:rsid w:val="00994358"/>
    <w:rsid w:val="00995978"/>
    <w:rsid w:val="009A27ED"/>
    <w:rsid w:val="009A7C8F"/>
    <w:rsid w:val="009B094B"/>
    <w:rsid w:val="009D1C01"/>
    <w:rsid w:val="009E7BD4"/>
    <w:rsid w:val="00A13F66"/>
    <w:rsid w:val="00A20274"/>
    <w:rsid w:val="00A42B51"/>
    <w:rsid w:val="00A65FCE"/>
    <w:rsid w:val="00A74124"/>
    <w:rsid w:val="00A8336C"/>
    <w:rsid w:val="00AC20A2"/>
    <w:rsid w:val="00AD2CDF"/>
    <w:rsid w:val="00AD63E3"/>
    <w:rsid w:val="00B23C06"/>
    <w:rsid w:val="00B25A0F"/>
    <w:rsid w:val="00B4389E"/>
    <w:rsid w:val="00B45F8B"/>
    <w:rsid w:val="00B4615D"/>
    <w:rsid w:val="00B70A32"/>
    <w:rsid w:val="00B72153"/>
    <w:rsid w:val="00B90207"/>
    <w:rsid w:val="00B928A8"/>
    <w:rsid w:val="00B94B71"/>
    <w:rsid w:val="00BB248D"/>
    <w:rsid w:val="00BB6A8F"/>
    <w:rsid w:val="00BB7FC8"/>
    <w:rsid w:val="00BC3DC6"/>
    <w:rsid w:val="00BD708B"/>
    <w:rsid w:val="00BF64D7"/>
    <w:rsid w:val="00C1164E"/>
    <w:rsid w:val="00C30CBB"/>
    <w:rsid w:val="00C3513F"/>
    <w:rsid w:val="00C54011"/>
    <w:rsid w:val="00CC5639"/>
    <w:rsid w:val="00CD1116"/>
    <w:rsid w:val="00CE1825"/>
    <w:rsid w:val="00CE41AE"/>
    <w:rsid w:val="00CE4FB8"/>
    <w:rsid w:val="00D029FA"/>
    <w:rsid w:val="00D12545"/>
    <w:rsid w:val="00D21C04"/>
    <w:rsid w:val="00D406C7"/>
    <w:rsid w:val="00D4164B"/>
    <w:rsid w:val="00D6127D"/>
    <w:rsid w:val="00D70CC6"/>
    <w:rsid w:val="00D74BB2"/>
    <w:rsid w:val="00D8420D"/>
    <w:rsid w:val="00D93453"/>
    <w:rsid w:val="00DC2432"/>
    <w:rsid w:val="00DE32CA"/>
    <w:rsid w:val="00DF59B3"/>
    <w:rsid w:val="00E07BFF"/>
    <w:rsid w:val="00E12CDC"/>
    <w:rsid w:val="00E13035"/>
    <w:rsid w:val="00E22E23"/>
    <w:rsid w:val="00E311AC"/>
    <w:rsid w:val="00E43DE1"/>
    <w:rsid w:val="00E44092"/>
    <w:rsid w:val="00E538CD"/>
    <w:rsid w:val="00E91A40"/>
    <w:rsid w:val="00E935FF"/>
    <w:rsid w:val="00E966CB"/>
    <w:rsid w:val="00EA70C0"/>
    <w:rsid w:val="00EB0A0E"/>
    <w:rsid w:val="00EC13F1"/>
    <w:rsid w:val="00EC4C84"/>
    <w:rsid w:val="00ED52F0"/>
    <w:rsid w:val="00EE1454"/>
    <w:rsid w:val="00EE3170"/>
    <w:rsid w:val="00EE564B"/>
    <w:rsid w:val="00EF5104"/>
    <w:rsid w:val="00EF5EE7"/>
    <w:rsid w:val="00EF6E30"/>
    <w:rsid w:val="00EF741A"/>
    <w:rsid w:val="00EF788D"/>
    <w:rsid w:val="00F07F7F"/>
    <w:rsid w:val="00F10D27"/>
    <w:rsid w:val="00F169E2"/>
    <w:rsid w:val="00F32A15"/>
    <w:rsid w:val="00F344ED"/>
    <w:rsid w:val="00F455BF"/>
    <w:rsid w:val="00F57499"/>
    <w:rsid w:val="00F854DB"/>
    <w:rsid w:val="00F90A07"/>
    <w:rsid w:val="00FA19D5"/>
    <w:rsid w:val="00FC4840"/>
    <w:rsid w:val="00FD6CC1"/>
    <w:rsid w:val="00FE0E59"/>
    <w:rsid w:val="00FE70D9"/>
    <w:rsid w:val="00FF6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B2724-B94D-471C-949A-0D29DFCD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CB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Titlu2">
    <w:name w:val="heading 2"/>
    <w:aliases w:val="Reg-Punct"/>
    <w:basedOn w:val="Normal"/>
    <w:next w:val="Normal"/>
    <w:link w:val="Titlu2Caracter"/>
    <w:autoRedefine/>
    <w:qFormat/>
    <w:rsid w:val="00BC3DC6"/>
    <w:pPr>
      <w:keepNext/>
      <w:widowControl/>
      <w:numPr>
        <w:ilvl w:val="1"/>
        <w:numId w:val="9"/>
      </w:numPr>
      <w:tabs>
        <w:tab w:val="left" w:pos="1134"/>
      </w:tabs>
      <w:suppressAutoHyphens/>
      <w:autoSpaceDE/>
      <w:autoSpaceDN/>
      <w:adjustRightInd/>
      <w:jc w:val="both"/>
      <w:outlineLvl w:val="1"/>
    </w:pPr>
    <w:rPr>
      <w:iCs/>
      <w:color w:val="000000"/>
      <w:sz w:val="28"/>
      <w:szCs w:val="28"/>
      <w:lang w:val="x-none"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663714"/>
    <w:pPr>
      <w:widowControl/>
      <w:autoSpaceDE/>
      <w:autoSpaceDN/>
      <w:adjustRightInd/>
      <w:jc w:val="both"/>
    </w:pPr>
    <w:rPr>
      <w:b/>
      <w:sz w:val="28"/>
      <w:lang w:val="ro-RO"/>
    </w:rPr>
  </w:style>
  <w:style w:type="character" w:customStyle="1" w:styleId="CorptextCaracter">
    <w:name w:val="Corp text Caracter"/>
    <w:basedOn w:val="Fontdeparagrafimplicit"/>
    <w:link w:val="Corptext"/>
    <w:rsid w:val="00663714"/>
    <w:rPr>
      <w:rFonts w:ascii="Times New Roman" w:eastAsia="Times New Roman" w:hAnsi="Times New Roman" w:cs="Times New Roman"/>
      <w:b/>
      <w:sz w:val="28"/>
      <w:szCs w:val="20"/>
      <w:lang w:val="ro-RO" w:eastAsia="ru-RU"/>
    </w:rPr>
  </w:style>
  <w:style w:type="character" w:customStyle="1" w:styleId="Bodytext2">
    <w:name w:val="Body text (2)_"/>
    <w:basedOn w:val="Fontdeparagrafimplicit"/>
    <w:link w:val="Bodytext20"/>
    <w:rsid w:val="00EB0A0E"/>
    <w:rPr>
      <w:rFonts w:ascii="Bookman Old Style" w:eastAsia="Bookman Old Style" w:hAnsi="Bookman Old Style" w:cs="Bookman Old Style"/>
      <w:sz w:val="24"/>
      <w:szCs w:val="24"/>
      <w:shd w:val="clear" w:color="auto" w:fill="FFFFFF"/>
    </w:rPr>
  </w:style>
  <w:style w:type="paragraph" w:customStyle="1" w:styleId="Bodytext20">
    <w:name w:val="Body text (2)"/>
    <w:basedOn w:val="Normal"/>
    <w:link w:val="Bodytext2"/>
    <w:rsid w:val="00EB0A0E"/>
    <w:pPr>
      <w:shd w:val="clear" w:color="auto" w:fill="FFFFFF"/>
      <w:autoSpaceDE/>
      <w:autoSpaceDN/>
      <w:adjustRightInd/>
      <w:spacing w:before="720" w:line="384" w:lineRule="exact"/>
      <w:jc w:val="both"/>
    </w:pPr>
    <w:rPr>
      <w:rFonts w:ascii="Bookman Old Style" w:eastAsia="Bookman Old Style" w:hAnsi="Bookman Old Style" w:cs="Bookman Old Style"/>
      <w:sz w:val="24"/>
      <w:szCs w:val="24"/>
      <w:lang w:val="en-GB" w:eastAsia="en-US"/>
    </w:rPr>
  </w:style>
  <w:style w:type="character" w:customStyle="1" w:styleId="Bodytext5">
    <w:name w:val="Body text (5)_"/>
    <w:basedOn w:val="Fontdeparagrafimplicit"/>
    <w:link w:val="Bodytext50"/>
    <w:rsid w:val="005955FD"/>
    <w:rPr>
      <w:rFonts w:ascii="Bookman Old Style" w:eastAsia="Bookman Old Style" w:hAnsi="Bookman Old Style" w:cs="Bookman Old Style"/>
      <w:sz w:val="8"/>
      <w:szCs w:val="8"/>
      <w:shd w:val="clear" w:color="auto" w:fill="FFFFFF"/>
    </w:rPr>
  </w:style>
  <w:style w:type="character" w:customStyle="1" w:styleId="Bodytext5SmallCaps">
    <w:name w:val="Body text (5) + Small Caps"/>
    <w:basedOn w:val="Bodytext5"/>
    <w:rsid w:val="005955FD"/>
    <w:rPr>
      <w:rFonts w:ascii="Bookman Old Style" w:eastAsia="Bookman Old Style" w:hAnsi="Bookman Old Style" w:cs="Bookman Old Style"/>
      <w:smallCaps/>
      <w:color w:val="000000"/>
      <w:spacing w:val="0"/>
      <w:w w:val="100"/>
      <w:position w:val="0"/>
      <w:sz w:val="8"/>
      <w:szCs w:val="8"/>
      <w:shd w:val="clear" w:color="auto" w:fill="FFFFFF"/>
      <w:lang w:val="en-US" w:eastAsia="en-US" w:bidi="en-US"/>
    </w:rPr>
  </w:style>
  <w:style w:type="paragraph" w:customStyle="1" w:styleId="Bodytext50">
    <w:name w:val="Body text (5)"/>
    <w:basedOn w:val="Normal"/>
    <w:link w:val="Bodytext5"/>
    <w:rsid w:val="005955FD"/>
    <w:pPr>
      <w:shd w:val="clear" w:color="auto" w:fill="FFFFFF"/>
      <w:autoSpaceDE/>
      <w:autoSpaceDN/>
      <w:adjustRightInd/>
      <w:spacing w:line="0" w:lineRule="atLeast"/>
    </w:pPr>
    <w:rPr>
      <w:rFonts w:ascii="Bookman Old Style" w:eastAsia="Bookman Old Style" w:hAnsi="Bookman Old Style" w:cs="Bookman Old Style"/>
      <w:sz w:val="8"/>
      <w:szCs w:val="8"/>
      <w:lang w:val="en-GB" w:eastAsia="en-US"/>
    </w:rPr>
  </w:style>
  <w:style w:type="character" w:customStyle="1" w:styleId="Bodytext2Georgia">
    <w:name w:val="Body text (2) + Georgia"/>
    <w:aliases w:val="11.5 pt"/>
    <w:basedOn w:val="Bodytext2"/>
    <w:rsid w:val="00253FA5"/>
    <w:rPr>
      <w:rFonts w:ascii="Georgia" w:eastAsia="Georgia" w:hAnsi="Georgia" w:cs="Georgia"/>
      <w:b/>
      <w:bCs/>
      <w:i w:val="0"/>
      <w:iCs w:val="0"/>
      <w:smallCaps w:val="0"/>
      <w:strike w:val="0"/>
      <w:color w:val="000000"/>
      <w:spacing w:val="0"/>
      <w:w w:val="100"/>
      <w:position w:val="0"/>
      <w:sz w:val="23"/>
      <w:szCs w:val="23"/>
      <w:u w:val="none"/>
      <w:shd w:val="clear" w:color="auto" w:fill="FFFFFF"/>
      <w:lang w:val="en-US" w:eastAsia="en-US" w:bidi="en-US"/>
    </w:rPr>
  </w:style>
  <w:style w:type="character" w:customStyle="1" w:styleId="Bodytext2Exact">
    <w:name w:val="Body text (2) Exact"/>
    <w:basedOn w:val="Fontdeparagrafimplicit"/>
    <w:rsid w:val="008C537C"/>
    <w:rPr>
      <w:rFonts w:ascii="Bookman Old Style" w:eastAsia="Bookman Old Style" w:hAnsi="Bookman Old Style" w:cs="Bookman Old Style"/>
      <w:b w:val="0"/>
      <w:bCs w:val="0"/>
      <w:i w:val="0"/>
      <w:iCs w:val="0"/>
      <w:smallCaps w:val="0"/>
      <w:strike w:val="0"/>
      <w:sz w:val="24"/>
      <w:szCs w:val="24"/>
      <w:u w:val="none"/>
    </w:rPr>
  </w:style>
  <w:style w:type="paragraph" w:styleId="NormalWeb">
    <w:name w:val="Normal (Web)"/>
    <w:basedOn w:val="Normal"/>
    <w:uiPriority w:val="99"/>
    <w:rsid w:val="00257B0B"/>
    <w:pPr>
      <w:widowControl/>
      <w:autoSpaceDE/>
      <w:autoSpaceDN/>
      <w:adjustRightInd/>
      <w:ind w:firstLine="567"/>
      <w:jc w:val="both"/>
    </w:pPr>
    <w:rPr>
      <w:rFonts w:eastAsia="SimSun"/>
      <w:sz w:val="24"/>
      <w:szCs w:val="24"/>
      <w:lang w:eastAsia="zh-CN"/>
    </w:rPr>
  </w:style>
  <w:style w:type="paragraph" w:customStyle="1" w:styleId="tt">
    <w:name w:val="tt"/>
    <w:basedOn w:val="Normal"/>
    <w:rsid w:val="00257B0B"/>
    <w:pPr>
      <w:widowControl/>
      <w:autoSpaceDE/>
      <w:autoSpaceDN/>
      <w:adjustRightInd/>
      <w:spacing w:before="100" w:beforeAutospacing="1" w:after="100" w:afterAutospacing="1"/>
    </w:pPr>
    <w:rPr>
      <w:sz w:val="24"/>
      <w:szCs w:val="24"/>
    </w:rPr>
  </w:style>
  <w:style w:type="character" w:styleId="Hyperlink">
    <w:name w:val="Hyperlink"/>
    <w:uiPriority w:val="99"/>
    <w:unhideWhenUsed/>
    <w:rsid w:val="000531ED"/>
    <w:rPr>
      <w:color w:val="0563C1"/>
      <w:u w:val="single"/>
    </w:rPr>
  </w:style>
  <w:style w:type="paragraph" w:styleId="TextnBalon">
    <w:name w:val="Balloon Text"/>
    <w:basedOn w:val="Normal"/>
    <w:link w:val="TextnBalonCaracter"/>
    <w:uiPriority w:val="99"/>
    <w:semiHidden/>
    <w:unhideWhenUsed/>
    <w:rsid w:val="00FA19D5"/>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A19D5"/>
    <w:rPr>
      <w:rFonts w:ascii="Segoe UI" w:eastAsia="Times New Roman" w:hAnsi="Segoe UI" w:cs="Segoe UI"/>
      <w:sz w:val="18"/>
      <w:szCs w:val="18"/>
      <w:lang w:val="ru-RU" w:eastAsia="ru-RU"/>
    </w:rPr>
  </w:style>
  <w:style w:type="paragraph" w:styleId="Listparagraf">
    <w:name w:val="List Paragraph"/>
    <w:basedOn w:val="Normal"/>
    <w:uiPriority w:val="34"/>
    <w:qFormat/>
    <w:rsid w:val="00355E87"/>
    <w:pPr>
      <w:ind w:left="720"/>
      <w:contextualSpacing/>
    </w:pPr>
  </w:style>
  <w:style w:type="character" w:customStyle="1" w:styleId="Titlu2Caracter">
    <w:name w:val="Titlu 2 Caracter"/>
    <w:aliases w:val="Reg-Punct Caracter"/>
    <w:basedOn w:val="Fontdeparagrafimplicit"/>
    <w:link w:val="Titlu2"/>
    <w:rsid w:val="00BC3DC6"/>
    <w:rPr>
      <w:rFonts w:ascii="Times New Roman" w:eastAsia="Times New Roman" w:hAnsi="Times New Roman" w:cs="Times New Roman"/>
      <w:iCs/>
      <w:color w:val="000000"/>
      <w:sz w:val="28"/>
      <w:szCs w:val="28"/>
      <w:lang w:val="x-none" w:eastAsia="zh-CN"/>
    </w:rPr>
  </w:style>
  <w:style w:type="paragraph" w:customStyle="1" w:styleId="Reg-Alineat1">
    <w:name w:val="Reg-Alineat1"/>
    <w:basedOn w:val="Normal"/>
    <w:qFormat/>
    <w:rsid w:val="00BC3DC6"/>
    <w:pPr>
      <w:widowControl/>
      <w:numPr>
        <w:numId w:val="11"/>
      </w:numPr>
      <w:tabs>
        <w:tab w:val="left" w:pos="1134"/>
      </w:tabs>
      <w:autoSpaceDE/>
      <w:autoSpaceDN/>
      <w:adjustRightInd/>
      <w:jc w:val="both"/>
    </w:pPr>
    <w:rPr>
      <w:rFonts w:eastAsia="Cambria"/>
      <w:sz w:val="24"/>
      <w:szCs w:val="22"/>
      <w:lang w:val="ro-RO" w:eastAsia="en-US"/>
    </w:rPr>
  </w:style>
  <w:style w:type="numbering" w:styleId="1ai">
    <w:name w:val="Outline List 1"/>
    <w:basedOn w:val="FrListare"/>
    <w:uiPriority w:val="99"/>
    <w:unhideWhenUsed/>
    <w:rsid w:val="00BC3DC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417667">
      <w:bodyDiv w:val="1"/>
      <w:marLeft w:val="0"/>
      <w:marRight w:val="0"/>
      <w:marTop w:val="0"/>
      <w:marBottom w:val="0"/>
      <w:divBdr>
        <w:top w:val="none" w:sz="0" w:space="0" w:color="auto"/>
        <w:left w:val="none" w:sz="0" w:space="0" w:color="auto"/>
        <w:bottom w:val="none" w:sz="0" w:space="0" w:color="auto"/>
        <w:right w:val="none" w:sz="0" w:space="0" w:color="auto"/>
      </w:divBdr>
    </w:div>
    <w:div w:id="166042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ticip.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1530</TotalTime>
  <Pages>3</Pages>
  <Words>960</Words>
  <Characters>5478</Characters>
  <Application>Microsoft Office Word</Application>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Galusca</dc:creator>
  <cp:keywords/>
  <dc:description/>
  <cp:lastModifiedBy>Matasaru, Lucia</cp:lastModifiedBy>
  <cp:revision>87</cp:revision>
  <cp:lastPrinted>2021-08-10T11:43:00Z</cp:lastPrinted>
  <dcterms:created xsi:type="dcterms:W3CDTF">2018-10-10T10:35:00Z</dcterms:created>
  <dcterms:modified xsi:type="dcterms:W3CDTF">2021-08-10T11:43:00Z</dcterms:modified>
</cp:coreProperties>
</file>