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18"/>
        <w:gridCol w:w="1066"/>
      </w:tblGrid>
      <w:tr w:rsidR="00555AE6" w:rsidRPr="00555AE6" w:rsidTr="00555AE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Приложение 9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Определение минимального размера</w:t>
            </w:r>
          </w:p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платы за наем имущества публичной собственности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1.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Минимальный размер годовой платы за наем помещений и благоустроенных территорий рассчитывается по формуле: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proofErr w:type="spellStart"/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P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ai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 xml:space="preserve"> = T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b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 xml:space="preserve"> ×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(1 + K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1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 xml:space="preserve"> + K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2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 xml:space="preserve"> +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 xml:space="preserve">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3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)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 xml:space="preserve"> ×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K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4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 xml:space="preserve"> ×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S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>,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val="en-GB"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P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ai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размер годовой платы за наем;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b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базовый тариф годовой платы за наем 1 кв. м площади;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1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коэффициент размещения помещения/благоустроенной территории;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2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коэффициент технического обустройства;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3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отраслевой коэффициент использования помещения/благоустроенной территории;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4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рыночный коэффициент;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S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сданная внаем площадь.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a) базовый тариф годовой платы за наем 1 кв. м площади (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b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муниципий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Кишинэу</w:t>
            </w:r>
            <w:proofErr w:type="spellEnd"/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01E83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E83">
              <w:rPr>
                <w:rFonts w:ascii="Times New Roman" w:eastAsia="Times New Roman" w:hAnsi="Times New Roman" w:cs="Times New Roman"/>
                <w:lang w:val="en-GB" w:eastAsia="ru-RU"/>
              </w:rPr>
              <w:t>458,67</w:t>
            </w:r>
            <w:r w:rsidRPr="00501E83">
              <w:rPr>
                <w:rFonts w:ascii="Times New Roman" w:eastAsia="Times New Roman" w:hAnsi="Times New Roman" w:cs="Times New Roman"/>
                <w:lang w:eastAsia="ru-RU"/>
              </w:rPr>
              <w:t xml:space="preserve"> лея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муниципий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Бэлць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01E83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E83">
              <w:rPr>
                <w:rFonts w:ascii="Times New Roman" w:eastAsia="Times New Roman" w:hAnsi="Times New Roman" w:cs="Times New Roman"/>
                <w:lang w:eastAsia="ru-RU"/>
              </w:rPr>
              <w:t>325,29 лея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остальные муниципии, города-резиденции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01E83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E83">
              <w:rPr>
                <w:rFonts w:ascii="Times New Roman" w:eastAsia="Times New Roman" w:hAnsi="Times New Roman" w:cs="Times New Roman"/>
                <w:lang w:eastAsia="ru-RU"/>
              </w:rPr>
              <w:t>236,53 лея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01E83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E83">
              <w:rPr>
                <w:rFonts w:ascii="Times New Roman" w:eastAsia="Times New Roman" w:hAnsi="Times New Roman" w:cs="Times New Roman"/>
                <w:lang w:eastAsia="ru-RU"/>
              </w:rPr>
              <w:t>177,51 лея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сельские населенные пункты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01E83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E83">
              <w:rPr>
                <w:rFonts w:ascii="Times New Roman" w:eastAsia="Times New Roman" w:hAnsi="Times New Roman" w:cs="Times New Roman"/>
                <w:lang w:eastAsia="ru-RU"/>
              </w:rPr>
              <w:t>59,26 лея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b) коэффициент размещения помещения/благоустроенной территории (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1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отдельно стоящее здание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встроенное или пристроенное помещение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надземное помещение, в том числе первый этаж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цокольное помещение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полуподвальное помещение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подвальное помещение с окнами, технический этаж, крыша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другие подвальные помещения, благоустроенная территория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c) коэффициент технического обустройства (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2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центральное отопление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горячая вода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центральное отопление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техническое обустройство отсутствует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d) отраслевой коэффициент использования помещения/благоустроенной территории (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3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ограниченнными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возможностями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0,05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объединения, благоустроенные территории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4) гаражи, склады, технические помещения (кроме указанных в позиции 6)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9) помещения, используемые под офисы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10) ссудо-сберегательные ассоциации, небанковские кредитные организации и бюро кредитных историй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11) субъекты финансового сектора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12) рестораны, бары, кафе, в которых производится отпуск спиртных напитков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13) пункты обмена валюты, пункты видеозаписи и проката видеопродукции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14) помещения, используемые для азартных игр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15) помещения иного назначения, чем указано в позициях 1)–14)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е) рыночный коэффициент (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4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 устанавливается по договоренности сторон и не может быть меньше 1,0, а для видов деятельности, осуществляемых в помещениях, указанных в позициях 1)–6) подпункта d), – меньше 0,5, за исключением: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 помещений, используемых органами средств массовой информации, для которых рыночный коэффициент устанавливается в пределах от 1,0 до 1,5;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– площадей, используемых для проведения массовых мероприятий в рамках проектов и программ, финансируемых из национального публичного бюджета, и используемых творческими мастерскими, общественными организациями лиц с ограниченными возможностями и их предприятиями,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При сдаче внаем нескольких помещений с различными условиями размещения и технического обустройства или помещений, которые будут использоваться в различных целях, общий размер платы за наем устанавливается путем сложения сумм платы за наем каждого помещения или группы помещений.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Примечание.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В рамках настоящего закона под благоустроенной территорией подразумевается благоустроенная территория (асфальтированная, мощеная и т. д.), в том числе прилегающая к зданию, которая может быть сдана внаем.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Размер годовой платы за наем оборудования, транспортных средств, в том числе сельскохозяйственного имущества (за исключением земель сельскохозяйственного назначения), и других основных средств (далее – 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оборудование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), сдаваемых внаем/в аренду, рассчитывается по формуле: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P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au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 xml:space="preserve"> =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U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a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 xml:space="preserve"> ×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K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1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 xml:space="preserve"> ×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>K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val="en-GB" w:eastAsia="ru-RU"/>
              </w:rPr>
              <w:t>2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ru-RU"/>
              </w:rPr>
              <w:t xml:space="preserve"> + Q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val="en-GB" w:eastAsia="ru-RU"/>
              </w:rPr>
              <w:t>,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val="en-GB"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en-GB"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где</w:t>
            </w:r>
            <w:r w:rsidRPr="00555AE6">
              <w:rPr>
                <w:rFonts w:ascii="Times New Roman" w:eastAsia="Times New Roman" w:hAnsi="Times New Roman" w:cs="Times New Roman"/>
                <w:lang w:val="en-GB" w:eastAsia="ru-RU"/>
              </w:rPr>
              <w:t>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P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au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размер годовой платы за наем/аренду оборудования;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U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a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годовая амортизация/годовой износ оборудования, сдаваемого внаем/в аренду;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1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расчетный коэффициент;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2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рыночный коэффициент;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Q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расходы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наймодателя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/арендодателя на содержание и эксплуатацию оборудования, сдаваемого внаем/в аренду.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a) годовая амортизация/годовой износ оборудования (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U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a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 рассчитывается по каждому учетному объекту в соответствии с положениями Каталога основных средств, утвержденного Постановлением Правительства № 941/2020, согласно таблице 1:</w:t>
            </w:r>
          </w:p>
        </w:tc>
      </w:tr>
    </w:tbl>
    <w:p w:rsidR="00555AE6" w:rsidRPr="00555AE6" w:rsidRDefault="00555AE6" w:rsidP="00555AE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5AE6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5"/>
        <w:gridCol w:w="927"/>
        <w:gridCol w:w="889"/>
        <w:gridCol w:w="1236"/>
        <w:gridCol w:w="1047"/>
        <w:gridCol w:w="890"/>
        <w:gridCol w:w="863"/>
        <w:gridCol w:w="857"/>
        <w:gridCol w:w="857"/>
        <w:gridCol w:w="974"/>
        <w:gridCol w:w="540"/>
      </w:tblGrid>
      <w:tr w:rsidR="00555AE6" w:rsidRPr="00555AE6" w:rsidTr="00555AE6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Таблица 1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5AE6" w:rsidRPr="00555AE6" w:rsidTr="00555AE6">
        <w:trPr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Инвентарный номер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Срок использования/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срок полезного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функционирования, в годах.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Пробег, в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Первоначальная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или переоцененная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стоимость,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Амортизация/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износ на дату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сдачи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внаем,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Годовая амортизация/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годово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й износ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  <w:t>(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U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eastAsia="ru-RU"/>
              </w:rPr>
              <w:t>a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),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Расчетный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коэффициент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  <w:t>(К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eastAsia="ru-RU"/>
              </w:rPr>
              <w:t>1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Рыночный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коэффициент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br/>
              <w:t>(К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eastAsia="ru-RU"/>
              </w:rPr>
              <w:t>2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Расходы на содержание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иэксплу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атацию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(Q)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Размер годовой пла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 за наем (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P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eastAsia="ru-RU"/>
              </w:rPr>
              <w:t>au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),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в леях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b) расчетный коэффициент (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1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 устанавливается в зависимости от амортизации/износа на дату сдачи оборудования внаем/в аренду (таблица 2):</w:t>
            </w:r>
          </w:p>
        </w:tc>
      </w:tr>
    </w:tbl>
    <w:p w:rsidR="00555AE6" w:rsidRPr="00555AE6" w:rsidRDefault="00555AE6" w:rsidP="00555AE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5AE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6"/>
        <w:gridCol w:w="493"/>
        <w:gridCol w:w="493"/>
        <w:gridCol w:w="492"/>
        <w:gridCol w:w="492"/>
        <w:gridCol w:w="492"/>
        <w:gridCol w:w="492"/>
        <w:gridCol w:w="492"/>
        <w:gridCol w:w="492"/>
        <w:gridCol w:w="492"/>
        <w:gridCol w:w="492"/>
        <w:gridCol w:w="436"/>
      </w:tblGrid>
      <w:tr w:rsidR="00555AE6" w:rsidRPr="00555AE6" w:rsidTr="00555AE6">
        <w:trPr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Таблица 2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Амортизация/износ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U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eastAsia="ru-RU"/>
              </w:rPr>
              <w:t>а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(%)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с) рыночный коэффициент (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K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2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 устанавливается по договоренности сторон и не может быть меньше 1,0. При установлении данного коэффициента принимаются во внимание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внаем/в аренду оборудования другим бюджетным органам/учреждениям, для которых рыночный коэффициент устанавливается в размере 1,0, а также точка общепита, в которой приготовляется и реализуется пища, в помещениях здания Парламента, для которой рыночный коэффициент устанавливается в размере 0,2.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Если суммы расходов на содержание и эксплуатацию оборудования (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Q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) непостоянны, они пересчитываются и уплачиваются дополнительно.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Размер годовой наемной платы за использование оборотных активов рассчитывается по формуле: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Р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vertAlign w:val="subscript"/>
                <w:lang w:eastAsia="ru-RU"/>
              </w:rPr>
              <w:t>ас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= C × R × K,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где: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P</w:t>
            </w:r>
            <w:r w:rsidRPr="00555AE6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ас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размер годовой наемной платы за использование оборотных активов;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балансовая стоимость оборотных активов на день расчета наемной платы;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R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базисная ставка, применяемая Национальным банком Молдовы по основным краткосрочным операциям денежной политики;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– рыночный коэффициент.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Величина коэффициентов, используемых при расчете, определяется на основе следующих критериев: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a) балансовая стоимость оборотных активов рассчитывается по каждому учетному объекту согласно таблице 3:</w:t>
            </w:r>
          </w:p>
        </w:tc>
      </w:tr>
    </w:tbl>
    <w:p w:rsidR="00555AE6" w:rsidRPr="00555AE6" w:rsidRDefault="00555AE6" w:rsidP="00555AE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5AE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"/>
        <w:gridCol w:w="1569"/>
        <w:gridCol w:w="1272"/>
        <w:gridCol w:w="1152"/>
        <w:gridCol w:w="1268"/>
        <w:gridCol w:w="1232"/>
        <w:gridCol w:w="1371"/>
      </w:tblGrid>
      <w:tr w:rsidR="00555AE6" w:rsidRPr="00555AE6" w:rsidTr="00555AE6">
        <w:trPr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Таблица 3</w:t>
            </w:r>
          </w:p>
          <w:p w:rsidR="00555AE6" w:rsidRPr="00555AE6" w:rsidRDefault="00555AE6" w:rsidP="00555A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555AE6" w:rsidRPr="00555AE6" w:rsidTr="00555AE6">
        <w:trPr>
          <w:jc w:val="center"/>
        </w:trPr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оборотных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Балансовая стоимость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одной единицы на день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расчета наемной платы,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балансовая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стоимость на день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расчета наемной платы,</w:t>
            </w: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в леях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Примечания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  <w:tr w:rsidR="00555AE6" w:rsidRPr="00555AE6" w:rsidTr="00555AE6">
        <w:trPr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b)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с) рыночный коэффициент устанавливается по соглашению сторон и не может быть меньше 1,0.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Минимальный размер платы за наем имущества публичной собственности определяется без налога на добавленную стоимость.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Если </w:t>
            </w:r>
            <w:proofErr w:type="spellStart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наймодатель</w:t>
            </w:r>
            <w:proofErr w:type="spellEnd"/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зарегистрирован как плательщик налога на добавленную стоимость, плата за наем взимается с нанимателя с учетом налога на добавленную стоимость, дополнительно исчисленного на стоимость оказанных услуг.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555AE6" w:rsidRPr="00555AE6" w:rsidRDefault="00555AE6" w:rsidP="00555AE6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A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Примечание.</w:t>
            </w:r>
            <w:r w:rsidRPr="00555AE6">
              <w:rPr>
                <w:rFonts w:ascii="Times New Roman" w:eastAsia="Times New Roman" w:hAnsi="Times New Roman" w:cs="Times New Roman"/>
                <w:lang w:eastAsia="ru-RU"/>
              </w:rPr>
              <w:t xml:space="preserve"> Положения настоящего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 № 28/2016.</w:t>
            </w:r>
          </w:p>
        </w:tc>
      </w:tr>
    </w:tbl>
    <w:p w:rsidR="00555AE6" w:rsidRPr="00555AE6" w:rsidRDefault="00555AE6" w:rsidP="00555AE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555AE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55AE6" w:rsidRPr="00555AE6" w:rsidRDefault="00555AE6" w:rsidP="00555AE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55AE6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555AE6" w:rsidRDefault="00555AE6" w:rsidP="00555AE6">
      <w:pPr>
        <w:spacing w:after="0" w:line="240" w:lineRule="auto"/>
      </w:pPr>
      <w:r w:rsidRPr="00555AE6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FD47B8" w:rsidRDefault="00501E83" w:rsidP="00555AE6"/>
    <w:sectPr w:rsidR="00FD4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56A"/>
    <w:rsid w:val="00501E83"/>
    <w:rsid w:val="00555AE6"/>
    <w:rsid w:val="00887EDD"/>
    <w:rsid w:val="0095656A"/>
    <w:rsid w:val="00A7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88C21-251C-44C9-8956-9360ED48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51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Stiharu, Natalia</dc:creator>
  <cp:keywords/>
  <dc:description/>
  <cp:lastModifiedBy>Veronica, Chirila</cp:lastModifiedBy>
  <cp:revision>2</cp:revision>
  <dcterms:created xsi:type="dcterms:W3CDTF">2022-11-15T14:20:00Z</dcterms:created>
  <dcterms:modified xsi:type="dcterms:W3CDTF">2022-11-15T14:20:00Z</dcterms:modified>
</cp:coreProperties>
</file>