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E15" w:rsidRPr="005C7012" w:rsidRDefault="000A0E15" w:rsidP="000A0E15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val="ro-RO" w:eastAsia="ru-RU"/>
        </w:rPr>
      </w:pPr>
      <w:r w:rsidRPr="005C7012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 xml:space="preserve">Componenta </w:t>
      </w:r>
      <w:r w:rsidR="00CB65F4" w:rsidRPr="005C7012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>Lini</w:t>
      </w:r>
      <w:r w:rsidRPr="005C7012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 xml:space="preserve">ei </w:t>
      </w:r>
      <w:r w:rsidR="00CB65F4" w:rsidRPr="005C7012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>de Credit Investițional</w:t>
      </w:r>
      <w:r w:rsidR="00B5255F" w:rsidRPr="005C7012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>e</w:t>
      </w:r>
      <w:r w:rsidR="00CB65F4" w:rsidRPr="005C7012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 xml:space="preserve"> </w:t>
      </w:r>
      <w:bookmarkStart w:id="0" w:name="_Hlk3796177"/>
      <w:r w:rsidRPr="005C7012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 xml:space="preserve">a </w:t>
      </w:r>
      <w:bookmarkEnd w:id="0"/>
      <w:r w:rsidR="00CB65F4" w:rsidRPr="005C7012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>Proiectul</w:t>
      </w:r>
      <w:r w:rsidRPr="005C7012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>ui</w:t>
      </w:r>
      <w:r w:rsidR="00CB65F4" w:rsidRPr="005C7012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 xml:space="preserve"> </w:t>
      </w:r>
    </w:p>
    <w:p w:rsidR="000C7C36" w:rsidRPr="00090A8A" w:rsidRDefault="00CB65F4" w:rsidP="000A0E15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val="ro-RO" w:eastAsia="ru-RU"/>
        </w:rPr>
      </w:pPr>
      <w:r w:rsidRPr="00090A8A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>Îmbunătățirea Capacităților pentru Transformarea Zonei Rurale (FIDA 8)</w:t>
      </w:r>
      <w:r w:rsidR="000C7C36" w:rsidRPr="00090A8A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 xml:space="preserve">. </w:t>
      </w:r>
    </w:p>
    <w:p w:rsidR="00CB65F4" w:rsidRPr="00090A8A" w:rsidRDefault="00B5255F" w:rsidP="000A0E15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Proiectul </w:t>
      </w:r>
      <w:r w:rsidR="00CB65F4"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este </w:t>
      </w:r>
      <w:r w:rsidR="000A0E15"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implementat </w:t>
      </w: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de Unitatea de Implementare  UCIP-IFAD din cadrul Ministerului Agriculturii și este </w:t>
      </w:r>
      <w:r w:rsidR="00CB65F4"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finanțat din Împrumutul Fondului Internațional pentru Dezvoltarea Agriculturii (FIDA), acordat Guvernului Republicii Moldova pentru susținerea dezvoltării sectorului </w:t>
      </w: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rural</w:t>
      </w:r>
      <w:r w:rsidR="00CB65F4" w:rsidRPr="00090A8A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:rsidR="006908D6" w:rsidRPr="00090A8A" w:rsidRDefault="006908D6" w:rsidP="006908D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090A8A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 xml:space="preserve">Fondurile componentei </w:t>
      </w:r>
      <w:r w:rsidR="00A9019B" w:rsidRPr="00090A8A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 xml:space="preserve">2.1 a </w:t>
      </w:r>
      <w:r w:rsidR="00CF0368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 xml:space="preserve">Proiectului-componenta </w:t>
      </w:r>
      <w:r w:rsidRPr="00090A8A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 xml:space="preserve">Liniei de Credit </w:t>
      </w:r>
      <w:r w:rsidR="00926521"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(</w:t>
      </w:r>
      <w:r w:rsidR="00926521" w:rsidRPr="00090A8A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 xml:space="preserve">Credite </w:t>
      </w:r>
      <w:r w:rsidR="001E12AE" w:rsidRPr="00090A8A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 xml:space="preserve">accesibile </w:t>
      </w:r>
      <w:r w:rsidR="00926521" w:rsidRPr="00090A8A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>pentru Tineri și Femei</w:t>
      </w:r>
      <w:r w:rsidR="00A5389E" w:rsidRPr="00090A8A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 xml:space="preserve"> antreprenoare</w:t>
      </w:r>
      <w:r w:rsidR="00926521" w:rsidRPr="00090A8A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 xml:space="preserve">) </w:t>
      </w: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sunt destinate pentru recredi</w:t>
      </w:r>
      <w:r w:rsidR="001E12AE"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tarea </w:t>
      </w:r>
      <w:r w:rsidR="00A01769"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Î</w:t>
      </w: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ntreprinderilor </w:t>
      </w:r>
      <w:r w:rsidR="00A01769"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M</w:t>
      </w: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icro</w:t>
      </w:r>
      <w:r w:rsidR="00A9019B"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, </w:t>
      </w:r>
      <w:r w:rsidR="00A01769"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M</w:t>
      </w: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ici și a micro-antreprenorilor prin alocarea </w:t>
      </w:r>
      <w:r w:rsidR="00A9019B"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de sub-împrumuturi cu componentă de grant </w:t>
      </w:r>
      <w:r w:rsidR="00926521"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 </w:t>
      </w: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tinerilor și femeilor antreprenori</w:t>
      </w:r>
      <w:r w:rsidR="001E12AE"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. Recreditarea se va efectua </w:t>
      </w: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prin intermediul </w:t>
      </w:r>
      <w:r w:rsidRPr="00090A8A">
        <w:rPr>
          <w:rFonts w:ascii="Times New Roman" w:hAnsi="Times New Roman"/>
          <w:sz w:val="24"/>
          <w:szCs w:val="24"/>
          <w:lang w:val="ro-RO"/>
        </w:rPr>
        <w:t xml:space="preserve">Unității Consolidate UCIP-IFAD, </w:t>
      </w: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Instituțiilor Financiare Participante (IFP)</w:t>
      </w:r>
      <w:r w:rsidR="001E12AE"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, </w:t>
      </w: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care își asumă integral toate riscurile de credit și </w:t>
      </w:r>
      <w:r w:rsidR="00926521"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prin </w:t>
      </w: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Oficiul de Gestionare a Programelor de Asistenta Externa (OGP</w:t>
      </w:r>
      <w:r w:rsidR="001E12AE"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 </w:t>
      </w: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AE).</w:t>
      </w:r>
    </w:p>
    <w:p w:rsidR="001E12AE" w:rsidRPr="00090A8A" w:rsidRDefault="001E12AE" w:rsidP="00CB65F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</w:p>
    <w:p w:rsidR="006908D6" w:rsidRPr="00090A8A" w:rsidRDefault="001E12AE" w:rsidP="00CB65F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Data de intrare în vigoare a Proiectului: 13 ianuarie 2021</w:t>
      </w:r>
    </w:p>
    <w:p w:rsidR="00CB65F4" w:rsidRPr="00090A8A" w:rsidRDefault="00CB65F4" w:rsidP="00CB65F4">
      <w:pPr>
        <w:pStyle w:val="Heading4"/>
        <w:spacing w:before="0" w:after="0"/>
        <w:ind w:left="360"/>
        <w:jc w:val="both"/>
        <w:rPr>
          <w:rFonts w:ascii="Times New Roman" w:hAnsi="Times New Roman"/>
          <w:b w:val="0"/>
          <w:sz w:val="24"/>
          <w:szCs w:val="24"/>
          <w:lang w:val="ro-RO" w:eastAsia="ru-RU"/>
        </w:rPr>
      </w:pPr>
      <w:r w:rsidRPr="00090A8A">
        <w:rPr>
          <w:rFonts w:ascii="Times New Roman" w:hAnsi="Times New Roman"/>
          <w:b w:val="0"/>
          <w:sz w:val="24"/>
          <w:szCs w:val="24"/>
          <w:lang w:val="ro-RO" w:eastAsia="ru-RU"/>
        </w:rPr>
        <w:t xml:space="preserve">Data de închidere a Proiectului – </w:t>
      </w:r>
      <w:r w:rsidR="007238DB">
        <w:rPr>
          <w:rFonts w:ascii="Times New Roman" w:hAnsi="Times New Roman"/>
          <w:b w:val="0"/>
          <w:sz w:val="24"/>
          <w:szCs w:val="24"/>
          <w:lang w:val="ro-RO" w:eastAsia="ru-RU"/>
        </w:rPr>
        <w:t>30</w:t>
      </w:r>
      <w:r w:rsidRPr="00090A8A">
        <w:rPr>
          <w:rFonts w:ascii="Times New Roman" w:hAnsi="Times New Roman"/>
          <w:b w:val="0"/>
          <w:sz w:val="24"/>
          <w:szCs w:val="24"/>
          <w:lang w:val="ro-RO" w:eastAsia="ru-RU"/>
        </w:rPr>
        <w:t xml:space="preserve"> </w:t>
      </w:r>
      <w:r w:rsidR="007238DB">
        <w:rPr>
          <w:rFonts w:ascii="Times New Roman" w:hAnsi="Times New Roman"/>
          <w:b w:val="0"/>
          <w:sz w:val="24"/>
          <w:szCs w:val="24"/>
          <w:lang w:val="ro-RO" w:eastAsia="ru-RU"/>
        </w:rPr>
        <w:t>martie</w:t>
      </w:r>
      <w:r w:rsidR="00C0455B" w:rsidRPr="00090A8A">
        <w:rPr>
          <w:rFonts w:ascii="Times New Roman" w:hAnsi="Times New Roman"/>
          <w:b w:val="0"/>
          <w:sz w:val="24"/>
          <w:szCs w:val="24"/>
          <w:lang w:val="ro-RO" w:eastAsia="ru-RU"/>
        </w:rPr>
        <w:t xml:space="preserve"> </w:t>
      </w:r>
      <w:r w:rsidR="00C0455B" w:rsidRPr="00D77005">
        <w:rPr>
          <w:rFonts w:ascii="Times New Roman" w:hAnsi="Times New Roman"/>
          <w:b w:val="0"/>
          <w:sz w:val="24"/>
          <w:szCs w:val="24"/>
          <w:lang w:val="ro-RO" w:eastAsia="ru-RU"/>
        </w:rPr>
        <w:t>202</w:t>
      </w:r>
      <w:r w:rsidR="007238DB" w:rsidRPr="00D77005">
        <w:rPr>
          <w:rFonts w:ascii="Times New Roman" w:hAnsi="Times New Roman"/>
          <w:b w:val="0"/>
          <w:sz w:val="24"/>
          <w:szCs w:val="24"/>
          <w:lang w:val="ro-RO" w:eastAsia="ru-RU"/>
        </w:rPr>
        <w:t>7</w:t>
      </w:r>
      <w:r w:rsidRPr="00D77005">
        <w:rPr>
          <w:rFonts w:ascii="Times New Roman" w:hAnsi="Times New Roman"/>
          <w:b w:val="0"/>
          <w:sz w:val="24"/>
          <w:szCs w:val="24"/>
          <w:lang w:val="ro-RO" w:eastAsia="ru-RU"/>
        </w:rPr>
        <w:t>.</w:t>
      </w:r>
    </w:p>
    <w:p w:rsidR="00A01769" w:rsidRPr="00090A8A" w:rsidRDefault="00A01769" w:rsidP="00A01769">
      <w:pPr>
        <w:pStyle w:val="Heading4"/>
        <w:spacing w:before="0" w:after="0"/>
        <w:ind w:left="360"/>
        <w:jc w:val="both"/>
        <w:rPr>
          <w:rFonts w:ascii="Times New Roman" w:hAnsi="Times New Roman"/>
          <w:b w:val="0"/>
          <w:bCs w:val="0"/>
          <w:sz w:val="24"/>
          <w:szCs w:val="24"/>
          <w:lang w:val="ro-RO" w:eastAsia="ru-RU"/>
        </w:rPr>
      </w:pPr>
      <w:r w:rsidRPr="00090A8A">
        <w:rPr>
          <w:rFonts w:ascii="Times New Roman" w:hAnsi="Times New Roman"/>
          <w:b w:val="0"/>
          <w:sz w:val="24"/>
          <w:szCs w:val="24"/>
          <w:lang w:val="ro-RO" w:eastAsia="ru-RU"/>
        </w:rPr>
        <w:t xml:space="preserve">Promotorul Proiectului </w:t>
      </w:r>
      <w:r w:rsidR="00CF0368">
        <w:rPr>
          <w:rFonts w:ascii="Times New Roman" w:hAnsi="Times New Roman"/>
          <w:b w:val="0"/>
          <w:sz w:val="24"/>
          <w:szCs w:val="24"/>
          <w:lang w:val="ro-RO" w:eastAsia="ru-RU"/>
        </w:rPr>
        <w:t xml:space="preserve">care deține si sarcinile de aprobare a sub-proiectelor pentru finanțare </w:t>
      </w:r>
      <w:r w:rsidRPr="00090A8A">
        <w:rPr>
          <w:rFonts w:ascii="Times New Roman" w:hAnsi="Times New Roman"/>
          <w:b w:val="0"/>
          <w:sz w:val="24"/>
          <w:szCs w:val="24"/>
          <w:lang w:val="ro-RO" w:eastAsia="ru-RU"/>
        </w:rPr>
        <w:t xml:space="preserve">este </w:t>
      </w:r>
      <w:bookmarkStart w:id="1" w:name="_Hlk3800978"/>
      <w:r w:rsidRPr="00090A8A">
        <w:rPr>
          <w:rFonts w:ascii="Times New Roman" w:hAnsi="Times New Roman"/>
          <w:b w:val="0"/>
          <w:sz w:val="24"/>
          <w:szCs w:val="24"/>
          <w:lang w:val="ro-RO" w:eastAsia="ru-RU"/>
        </w:rPr>
        <w:t xml:space="preserve">Unitatea </w:t>
      </w:r>
      <w:r w:rsidRPr="00090A8A">
        <w:rPr>
          <w:rFonts w:ascii="Times New Roman" w:hAnsi="Times New Roman"/>
          <w:b w:val="0"/>
          <w:sz w:val="24"/>
          <w:szCs w:val="24"/>
          <w:lang w:val="ro-RO"/>
        </w:rPr>
        <w:t>Consolidată pentru Implementarea Programelor IFAD</w:t>
      </w:r>
      <w:r w:rsidRPr="00090A8A">
        <w:rPr>
          <w:rFonts w:ascii="Times New Roman" w:hAnsi="Times New Roman"/>
          <w:b w:val="0"/>
          <w:sz w:val="24"/>
          <w:szCs w:val="24"/>
          <w:lang w:val="ro-RO" w:eastAsia="ru-RU"/>
        </w:rPr>
        <w:t xml:space="preserve"> </w:t>
      </w:r>
      <w:bookmarkEnd w:id="1"/>
      <w:r w:rsidRPr="00090A8A">
        <w:rPr>
          <w:rFonts w:ascii="Times New Roman" w:hAnsi="Times New Roman"/>
          <w:b w:val="0"/>
          <w:sz w:val="24"/>
          <w:szCs w:val="24"/>
          <w:lang w:val="ro-RO" w:eastAsia="ru-RU"/>
        </w:rPr>
        <w:t>în cadrul Ministerului Agriculturii (</w:t>
      </w:r>
      <w:r w:rsidRPr="00090A8A">
        <w:rPr>
          <w:rFonts w:ascii="Times New Roman" w:hAnsi="Times New Roman"/>
          <w:b w:val="0"/>
          <w:sz w:val="24"/>
          <w:szCs w:val="24"/>
          <w:lang w:val="ro-RO"/>
        </w:rPr>
        <w:t>UCIP-IFAD), t</w:t>
      </w:r>
      <w:r w:rsidRPr="00090A8A">
        <w:rPr>
          <w:rFonts w:ascii="Times New Roman" w:hAnsi="Times New Roman"/>
          <w:b w:val="0"/>
          <w:sz w:val="24"/>
          <w:szCs w:val="24"/>
          <w:lang w:val="ro-RO" w:eastAsia="ru-RU"/>
        </w:rPr>
        <w:t>el. +373 22 210056, office@ucipifad.md</w:t>
      </w:r>
      <w:r w:rsidRPr="00090A8A">
        <w:rPr>
          <w:rFonts w:ascii="Times New Roman" w:hAnsi="Times New Roman"/>
          <w:b w:val="0"/>
          <w:bCs w:val="0"/>
          <w:sz w:val="24"/>
          <w:szCs w:val="24"/>
          <w:lang w:val="ro-RO" w:eastAsia="ru-RU"/>
        </w:rPr>
        <w:t xml:space="preserve">. </w:t>
      </w:r>
    </w:p>
    <w:p w:rsidR="00CB65F4" w:rsidRPr="00090A8A" w:rsidRDefault="00CB65F4" w:rsidP="00CB65F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</w:p>
    <w:p w:rsidR="00CB65F4" w:rsidRPr="00090A8A" w:rsidRDefault="00CB65F4" w:rsidP="00CB65F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Suma totală a Împrumutului extern pentru finanțarea Proiectului constituie </w:t>
      </w:r>
      <w:r w:rsidRPr="00090A8A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>24.5 mil. EUR din care 18.9 mil. EUR - împrumut și 5.5 mil. EUR - grant,</w:t>
      </w: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 inclusiv pentru </w:t>
      </w:r>
      <w:r w:rsidRPr="00090A8A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 xml:space="preserve">componenta Liniei de Credit – 11.1 mil. EUR credit și 2.2 mil EUR grant. </w:t>
      </w:r>
    </w:p>
    <w:p w:rsidR="00CB65F4" w:rsidRPr="00090A8A" w:rsidRDefault="00CB65F4" w:rsidP="00CB65F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</w:p>
    <w:p w:rsidR="00CB65F4" w:rsidRPr="00090A8A" w:rsidRDefault="00CB65F4" w:rsidP="00CB65F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</w:p>
    <w:p w:rsidR="00CB65F4" w:rsidRPr="00090A8A" w:rsidRDefault="00CB65F4" w:rsidP="00CB65F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Solicitanții de împrumuturi pot să se adreseze la următoarele IFP intermediare, cu care Ministerul Finanțelor a semnat Acorduri de Recreditare:</w:t>
      </w:r>
    </w:p>
    <w:p w:rsidR="00CB65F4" w:rsidRPr="00090A8A" w:rsidRDefault="00CB65F4" w:rsidP="00A017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OTP Bank SA (tel. 812-548), </w:t>
      </w:r>
    </w:p>
    <w:p w:rsidR="00CB65F4" w:rsidRPr="00090A8A" w:rsidRDefault="00CB65F4" w:rsidP="00A017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BC “</w:t>
      </w:r>
      <w:proofErr w:type="spellStart"/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Comertbank</w:t>
      </w:r>
      <w:proofErr w:type="spellEnd"/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” SA (tel. 022 839-748), </w:t>
      </w:r>
    </w:p>
    <w:p w:rsidR="00CB65F4" w:rsidRPr="00090A8A" w:rsidRDefault="00661E03" w:rsidP="00A017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090A8A">
        <w:rPr>
          <w:rFonts w:ascii="Times New Roman" w:hAnsi="Times New Roman"/>
          <w:sz w:val="24"/>
          <w:szCs w:val="24"/>
          <w:lang w:val="ro-RO" w:eastAsia="ru-RU"/>
        </w:rPr>
        <w:t>BC</w:t>
      </w:r>
      <w:r w:rsidRPr="00090A8A">
        <w:rPr>
          <w:rFonts w:ascii="Times New Roman" w:hAnsi="Times New Roman"/>
          <w:b/>
          <w:sz w:val="24"/>
          <w:szCs w:val="24"/>
          <w:lang w:val="ro-RO" w:eastAsia="ru-RU"/>
        </w:rPr>
        <w:t xml:space="preserve"> </w:t>
      </w:r>
      <w:r w:rsidR="00CB65F4"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“</w:t>
      </w:r>
      <w:proofErr w:type="spellStart"/>
      <w:r w:rsidR="00CB65F4"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Fincombank</w:t>
      </w:r>
      <w:proofErr w:type="spellEnd"/>
      <w:r w:rsidR="00CB65F4"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” SA (tel. 022 269-999),</w:t>
      </w:r>
    </w:p>
    <w:p w:rsidR="00CB65F4" w:rsidRPr="00090A8A" w:rsidRDefault="00CB65F4" w:rsidP="00A017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090A8A">
        <w:rPr>
          <w:rFonts w:ascii="Times New Roman" w:hAnsi="Times New Roman"/>
          <w:sz w:val="24"/>
          <w:szCs w:val="24"/>
          <w:lang w:val="ro-RO" w:eastAsia="ru-RU"/>
        </w:rPr>
        <w:t>BC</w:t>
      </w:r>
      <w:r w:rsidRPr="00090A8A">
        <w:rPr>
          <w:rFonts w:ascii="Times New Roman" w:hAnsi="Times New Roman"/>
          <w:b/>
          <w:sz w:val="24"/>
          <w:szCs w:val="24"/>
          <w:lang w:val="ro-RO" w:eastAsia="ru-RU"/>
        </w:rPr>
        <w:t xml:space="preserve"> </w:t>
      </w: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“</w:t>
      </w:r>
      <w:proofErr w:type="spellStart"/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MoldovaAgroindbank</w:t>
      </w:r>
      <w:proofErr w:type="spellEnd"/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” SA (tel. 022 268-999),</w:t>
      </w:r>
    </w:p>
    <w:p w:rsidR="00CB65F4" w:rsidRPr="00090A8A" w:rsidRDefault="00CB65F4" w:rsidP="00A017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090A8A">
        <w:rPr>
          <w:rFonts w:ascii="Times New Roman" w:hAnsi="Times New Roman"/>
          <w:sz w:val="24"/>
          <w:szCs w:val="24"/>
          <w:lang w:val="ro-RO" w:eastAsia="ru-RU"/>
        </w:rPr>
        <w:t>BC</w:t>
      </w:r>
      <w:r w:rsidRPr="00090A8A">
        <w:rPr>
          <w:rFonts w:ascii="Times New Roman" w:hAnsi="Times New Roman"/>
          <w:b/>
          <w:sz w:val="24"/>
          <w:szCs w:val="24"/>
          <w:lang w:val="ro-RO" w:eastAsia="ru-RU"/>
        </w:rPr>
        <w:t xml:space="preserve"> </w:t>
      </w: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“Moldindconbank” SA (tel. 022 576-782),</w:t>
      </w:r>
    </w:p>
    <w:p w:rsidR="00CB65F4" w:rsidRPr="00090A8A" w:rsidRDefault="00CB65F4" w:rsidP="00A017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BC „</w:t>
      </w:r>
      <w:proofErr w:type="spellStart"/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EuroCreditBank</w:t>
      </w:r>
      <w:proofErr w:type="spellEnd"/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”  SA </w:t>
      </w:r>
      <w:bookmarkStart w:id="2" w:name="_Hlk32840774"/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(tel. 022 500-2</w:t>
      </w:r>
      <w:bookmarkEnd w:id="2"/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55),</w:t>
      </w:r>
    </w:p>
    <w:p w:rsidR="00CB65F4" w:rsidRPr="00090A8A" w:rsidRDefault="00CB65F4" w:rsidP="00A017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BC „</w:t>
      </w:r>
      <w:proofErr w:type="spellStart"/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ProCredit</w:t>
      </w:r>
      <w:proofErr w:type="spellEnd"/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 Bank” SA (tel. 022 782-498),</w:t>
      </w:r>
    </w:p>
    <w:p w:rsidR="00CB65F4" w:rsidRPr="00090A8A" w:rsidRDefault="00CB65F4" w:rsidP="00A017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Banca Comercială Română </w:t>
      </w:r>
      <w:proofErr w:type="spellStart"/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Chişinău</w:t>
      </w:r>
      <w:proofErr w:type="spellEnd"/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 S.A. (tel. 022 852-082),</w:t>
      </w:r>
    </w:p>
    <w:p w:rsidR="00CB65F4" w:rsidRPr="00090A8A" w:rsidRDefault="00CB65F4" w:rsidP="00A017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OCN ”</w:t>
      </w:r>
      <w:proofErr w:type="spellStart"/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MikroKapital</w:t>
      </w:r>
      <w:proofErr w:type="spellEnd"/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 Company” SRL (tel. 022  628-822),</w:t>
      </w:r>
    </w:p>
    <w:p w:rsidR="00CB65F4" w:rsidRPr="00090A8A" w:rsidRDefault="00CB65F4" w:rsidP="00A017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AEI „</w:t>
      </w:r>
      <w:proofErr w:type="spellStart"/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Botna</w:t>
      </w:r>
      <w:proofErr w:type="spellEnd"/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” (tel. 0268 52 534).</w:t>
      </w:r>
    </w:p>
    <w:p w:rsidR="00CB65F4" w:rsidRPr="00090A8A" w:rsidRDefault="00CB65F4" w:rsidP="00CB65F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</w:p>
    <w:p w:rsidR="00CB65F4" w:rsidRPr="00D37EBE" w:rsidRDefault="00CB65F4" w:rsidP="00CB65F4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65F4" w:rsidRPr="00090A8A" w:rsidRDefault="00CB65F4" w:rsidP="00CB65F4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val="ro-RO"/>
        </w:rPr>
      </w:pP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 </w:t>
      </w:r>
      <w:r w:rsidRPr="00090A8A">
        <w:rPr>
          <w:rFonts w:ascii="Times New Roman" w:hAnsi="Times New Roman"/>
          <w:sz w:val="24"/>
          <w:szCs w:val="24"/>
          <w:lang w:val="ro-RO"/>
        </w:rPr>
        <w:t>Beneficiari eligibili de sub-împrumuturi pot fi Întreprinderi Micro</w:t>
      </w:r>
      <w:r w:rsidR="00A52A72" w:rsidRPr="00090A8A">
        <w:rPr>
          <w:rFonts w:ascii="Times New Roman" w:hAnsi="Times New Roman"/>
          <w:sz w:val="24"/>
          <w:szCs w:val="24"/>
          <w:lang w:val="ro-RO"/>
        </w:rPr>
        <w:t xml:space="preserve"> și</w:t>
      </w:r>
      <w:r w:rsidRPr="00090A8A">
        <w:rPr>
          <w:rFonts w:ascii="Times New Roman" w:hAnsi="Times New Roman"/>
          <w:sz w:val="24"/>
          <w:szCs w:val="24"/>
          <w:lang w:val="ro-RO"/>
        </w:rPr>
        <w:t xml:space="preserve"> Mici (IMM) </w:t>
      </w:r>
      <w:r w:rsidR="00A01769" w:rsidRPr="00090A8A">
        <w:rPr>
          <w:rFonts w:ascii="Times New Roman" w:hAnsi="Times New Roman"/>
          <w:sz w:val="24"/>
          <w:szCs w:val="24"/>
          <w:lang w:val="ro-RO"/>
        </w:rPr>
        <w:t>și</w:t>
      </w:r>
      <w:r w:rsidR="00C266CB">
        <w:rPr>
          <w:rFonts w:ascii="Times New Roman" w:hAnsi="Times New Roman"/>
          <w:sz w:val="24"/>
          <w:szCs w:val="24"/>
          <w:lang w:val="ro-RO"/>
        </w:rPr>
        <w:t xml:space="preserve"> </w:t>
      </w:r>
      <w:bookmarkStart w:id="3" w:name="_Hlk139880509"/>
      <w:r w:rsidR="00C266CB">
        <w:rPr>
          <w:rFonts w:ascii="Times New Roman" w:hAnsi="Times New Roman"/>
          <w:sz w:val="24"/>
          <w:szCs w:val="24"/>
          <w:lang w:val="ro-RO"/>
        </w:rPr>
        <w:t>Grupuri de Producători</w:t>
      </w:r>
      <w:bookmarkEnd w:id="3"/>
      <w:r w:rsidR="00A01769" w:rsidRPr="00090A8A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090A8A">
        <w:rPr>
          <w:rFonts w:ascii="Times New Roman" w:hAnsi="Times New Roman"/>
          <w:sz w:val="24"/>
          <w:szCs w:val="24"/>
          <w:lang w:val="ro-RO"/>
        </w:rPr>
        <w:t>care își desfășoară activitatea în aria de implementare a Proiectului</w:t>
      </w:r>
      <w:r w:rsidR="00CF0368">
        <w:rPr>
          <w:rFonts w:ascii="Times New Roman" w:hAnsi="Times New Roman"/>
          <w:sz w:val="24"/>
          <w:szCs w:val="24"/>
          <w:lang w:val="ro-RO"/>
        </w:rPr>
        <w:t>-tot teritoriul tării</w:t>
      </w:r>
      <w:r w:rsidRPr="00090A8A">
        <w:rPr>
          <w:rFonts w:ascii="Times New Roman" w:hAnsi="Times New Roman"/>
          <w:sz w:val="24"/>
          <w:szCs w:val="24"/>
          <w:lang w:val="ro-RO"/>
        </w:rPr>
        <w:t>.</w:t>
      </w:r>
    </w:p>
    <w:p w:rsidR="00CB65F4" w:rsidRPr="00090A8A" w:rsidRDefault="00CB65F4" w:rsidP="00CB65F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Activități eligibile </w:t>
      </w:r>
      <w:r w:rsidR="00A01769"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pentru </w:t>
      </w: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finanțare din fondurile Liniei de Credit:</w:t>
      </w:r>
    </w:p>
    <w:p w:rsidR="00CB65F4" w:rsidRPr="00090A8A" w:rsidRDefault="00CB65F4" w:rsidP="00CB65F4">
      <w:pPr>
        <w:pStyle w:val="ListParagraph"/>
        <w:spacing w:before="100" w:beforeAutospacing="1" w:after="100" w:afterAutospacing="1" w:line="240" w:lineRule="auto"/>
        <w:ind w:left="567" w:hanging="210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  <w:bookmarkStart w:id="4" w:name="_Hlk3799269"/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1. pentru </w:t>
      </w:r>
      <w:r w:rsidRPr="00090A8A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>Micro Antreprenori</w:t>
      </w: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 -  toate activitățile agricole și non agricole generatoare de venituri din mediul rural;</w:t>
      </w:r>
    </w:p>
    <w:p w:rsidR="00CB65F4" w:rsidRDefault="00CB65F4" w:rsidP="00CB65F4">
      <w:pPr>
        <w:pStyle w:val="ListParagraph"/>
        <w:spacing w:before="100" w:beforeAutospacing="1" w:after="100" w:afterAutospacing="1" w:line="240" w:lineRule="auto"/>
        <w:ind w:left="567" w:hanging="210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2. pentru </w:t>
      </w:r>
      <w:r w:rsidR="00C266CB" w:rsidRPr="00C266CB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 xml:space="preserve">Grupuri de Producători </w:t>
      </w: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- </w:t>
      </w:r>
      <w:bookmarkEnd w:id="4"/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toate activitățile după cum urmează: </w:t>
      </w:r>
    </w:p>
    <w:p w:rsidR="00C266CB" w:rsidRPr="00C266CB" w:rsidRDefault="00C266CB" w:rsidP="00C266CB">
      <w:pPr>
        <w:pStyle w:val="ListParagraph"/>
        <w:tabs>
          <w:tab w:val="left" w:pos="567"/>
        </w:tabs>
        <w:spacing w:after="0" w:line="240" w:lineRule="auto"/>
        <w:ind w:left="717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</w:p>
    <w:p w:rsidR="00C266CB" w:rsidRPr="00C266CB" w:rsidRDefault="00C266CB" w:rsidP="00C266CB">
      <w:pPr>
        <w:pStyle w:val="ListParagraph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C266CB">
        <w:rPr>
          <w:rFonts w:ascii="Times New Roman" w:eastAsia="Times New Roman" w:hAnsi="Times New Roman"/>
          <w:sz w:val="24"/>
          <w:szCs w:val="24"/>
          <w:lang w:val="ro-RO" w:eastAsia="ru-RU"/>
        </w:rPr>
        <w:lastRenderedPageBreak/>
        <w:t xml:space="preserve">    Prelucrarea / sortarea / calibrarea / ambalarea / etichetarea fructelor, pomușoarelor, legumelor, plantelor medicinale și aromatice, produselor lactate, mierii și strugurilor de masă (cu excepția strugurilor tehnici, a tutunului, a culturilor forestiere și de amenajare a teritoriului);</w:t>
      </w:r>
    </w:p>
    <w:p w:rsidR="00C266CB" w:rsidRPr="00C266CB" w:rsidRDefault="00C266CB" w:rsidP="00C266CB">
      <w:pPr>
        <w:pStyle w:val="ListParagraph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C266CB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    Producerea de energie regenerabila legata de activități post-recoltare (panouri solare, panouri fotovoltaice, instalații eoliene, utilaje si echipamente tehnologice pentru producerea biogazului; utilaje si instalații pentru încălzire termica etc.)</w:t>
      </w:r>
    </w:p>
    <w:p w:rsidR="00764D19" w:rsidRPr="00764D19" w:rsidRDefault="00C266CB" w:rsidP="00C266CB">
      <w:pPr>
        <w:pStyle w:val="ListParagraph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C266CB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    Captarea apei pluviale de pe acoperiș (burlane, jgheaburi, rezervoare de stocare a apei). </w:t>
      </w:r>
      <w:proofErr w:type="spellStart"/>
      <w:r w:rsidR="00764D19" w:rsidRPr="00764D19">
        <w:rPr>
          <w:rFonts w:ascii="Times New Roman" w:eastAsia="Times New Roman" w:hAnsi="Times New Roman"/>
          <w:sz w:val="24"/>
          <w:szCs w:val="24"/>
          <w:lang w:val="ro-RO" w:eastAsia="ru-RU"/>
        </w:rPr>
        <w:t>roducerea</w:t>
      </w:r>
      <w:proofErr w:type="spellEnd"/>
      <w:r w:rsidR="00764D19" w:rsidRPr="00764D19">
        <w:rPr>
          <w:rFonts w:ascii="Times New Roman" w:eastAsia="Times New Roman" w:hAnsi="Times New Roman"/>
          <w:sz w:val="24"/>
          <w:szCs w:val="24"/>
          <w:lang w:val="ro-RO" w:eastAsia="ru-RU"/>
        </w:rPr>
        <w:t>, recoltarea și depozitarea fructelor, pomușoarelor, legumelor, plantelor medicinale și aromatice, semințelor și răsadurilor, culturilor de câmp și strugurilor de masă (cu excepția strugurilor tehnici, a tutunului, a culturilor forestiere și de amenajare a teritoriului);</w:t>
      </w:r>
    </w:p>
    <w:p w:rsidR="00CB65F4" w:rsidRPr="00090A8A" w:rsidRDefault="00A5389E" w:rsidP="00A5389E">
      <w:pPr>
        <w:ind w:left="142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C</w:t>
      </w:r>
      <w:r w:rsidR="00CB65F4"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u excepția cazurilor în care FIDA și</w:t>
      </w: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/sau</w:t>
      </w:r>
      <w:r w:rsidR="00CB65F4"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 Guvernul Republicii Moldova vor conveni altfel, condițiile de finanțare </w:t>
      </w: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în cadrul componentei </w:t>
      </w:r>
      <w:r w:rsidR="00CB65F4"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sunt următoarele:</w:t>
      </w:r>
    </w:p>
    <w:tbl>
      <w:tblPr>
        <w:tblW w:w="39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2870"/>
        <w:gridCol w:w="2358"/>
      </w:tblGrid>
      <w:tr w:rsidR="00E34F8F" w:rsidRPr="00090A8A" w:rsidTr="00C266CB">
        <w:trPr>
          <w:trHeight w:val="645"/>
          <w:jc w:val="center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8F" w:rsidRPr="00090A8A" w:rsidRDefault="00E34F8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8F" w:rsidRPr="00090A8A" w:rsidRDefault="00E34F8F" w:rsidP="000A56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Grupuri de producători</w:t>
            </w:r>
            <w:r w:rsidRPr="00090A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8F" w:rsidRPr="00090A8A" w:rsidRDefault="00E34F8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o-RO"/>
              </w:rPr>
            </w:pPr>
            <w:r w:rsidRPr="00090A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Micro-antreprenori</w:t>
            </w:r>
          </w:p>
        </w:tc>
      </w:tr>
      <w:tr w:rsidR="00E34F8F" w:rsidRPr="00090A8A" w:rsidTr="00C266CB">
        <w:trPr>
          <w:trHeight w:val="484"/>
          <w:jc w:val="center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8F" w:rsidRPr="00090A8A" w:rsidRDefault="00E34F8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90A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Valuta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8F" w:rsidRPr="00090A8A" w:rsidRDefault="00E34F8F" w:rsidP="0064361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o-RO"/>
              </w:rPr>
            </w:pPr>
            <w:r w:rsidRPr="00090A8A">
              <w:rPr>
                <w:rFonts w:ascii="Times New Roman" w:hAnsi="Times New Roman"/>
                <w:kern w:val="2"/>
                <w:sz w:val="24"/>
                <w:szCs w:val="24"/>
                <w:lang w:val="ro-RO"/>
              </w:rPr>
              <w:t>MDL, EUR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8F" w:rsidRPr="00090A8A" w:rsidRDefault="00E34F8F" w:rsidP="0064361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o-RO"/>
              </w:rPr>
            </w:pPr>
            <w:r w:rsidRPr="00090A8A">
              <w:rPr>
                <w:rFonts w:ascii="Times New Roman" w:hAnsi="Times New Roman"/>
                <w:kern w:val="2"/>
                <w:sz w:val="24"/>
                <w:szCs w:val="24"/>
                <w:lang w:val="ro-RO"/>
              </w:rPr>
              <w:t>MDL</w:t>
            </w:r>
          </w:p>
        </w:tc>
      </w:tr>
      <w:tr w:rsidR="00E34F8F" w:rsidRPr="00090A8A" w:rsidTr="00C266CB">
        <w:trPr>
          <w:trHeight w:val="1182"/>
          <w:jc w:val="center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8F" w:rsidRPr="00090A8A" w:rsidRDefault="00E34F8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90A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Volumul pachetului financiar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8F" w:rsidRDefault="00E34F8F" w:rsidP="00E34F8F">
            <w:pPr>
              <w:rPr>
                <w:rFonts w:ascii="Times New Roman" w:hAnsi="Times New Roman"/>
                <w:kern w:val="2"/>
                <w:sz w:val="24"/>
                <w:szCs w:val="24"/>
                <w:lang w:val="ro-RO"/>
              </w:rPr>
            </w:pPr>
            <w:r w:rsidRPr="00E34F8F">
              <w:rPr>
                <w:rFonts w:ascii="Times New Roman" w:hAnsi="Times New Roman"/>
                <w:kern w:val="2"/>
                <w:sz w:val="24"/>
                <w:szCs w:val="24"/>
                <w:lang w:val="ro-RO"/>
              </w:rPr>
              <w:t>250.000 EUR</w:t>
            </w:r>
          </w:p>
          <w:p w:rsidR="00E34F8F" w:rsidRPr="00E34F8F" w:rsidRDefault="00E34F8F" w:rsidP="00E34F8F">
            <w:pPr>
              <w:rPr>
                <w:rFonts w:ascii="Times New Roman" w:hAnsi="Times New Roman"/>
                <w:kern w:val="2"/>
                <w:sz w:val="24"/>
                <w:szCs w:val="24"/>
                <w:lang w:val="ro-RO"/>
              </w:rPr>
            </w:pPr>
            <w:r w:rsidRPr="00E34F8F">
              <w:rPr>
                <w:rFonts w:ascii="Times New Roman" w:hAnsi="Times New Roman"/>
                <w:kern w:val="2"/>
                <w:sz w:val="24"/>
                <w:szCs w:val="24"/>
                <w:lang w:val="ro-RO"/>
              </w:rPr>
              <w:t>Porțiunea de împrumut – 92% din pachetul financiar (max. 230.000 EUR)</w:t>
            </w:r>
          </w:p>
          <w:p w:rsidR="00E34F8F" w:rsidRPr="00090A8A" w:rsidRDefault="00E34F8F" w:rsidP="00E34F8F">
            <w:pPr>
              <w:rPr>
                <w:rFonts w:ascii="Times New Roman" w:hAnsi="Times New Roman"/>
                <w:kern w:val="2"/>
                <w:sz w:val="24"/>
                <w:szCs w:val="24"/>
                <w:lang w:val="ro-RO"/>
              </w:rPr>
            </w:pPr>
            <w:r w:rsidRPr="00E34F8F">
              <w:rPr>
                <w:rFonts w:ascii="Times New Roman" w:hAnsi="Times New Roman"/>
                <w:kern w:val="2"/>
                <w:sz w:val="24"/>
                <w:szCs w:val="24"/>
                <w:lang w:val="ro-RO"/>
              </w:rPr>
              <w:t>Porțiunea de grant – 8% din pachetul financiar (max. 20.000 EUR)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8F" w:rsidRPr="00090A8A" w:rsidRDefault="00E34F8F">
            <w:pPr>
              <w:rPr>
                <w:rFonts w:ascii="Times New Roman" w:hAnsi="Times New Roman"/>
                <w:kern w:val="2"/>
                <w:sz w:val="24"/>
                <w:szCs w:val="24"/>
                <w:lang w:val="ro-RO"/>
              </w:rPr>
            </w:pPr>
            <w:r w:rsidRPr="00090A8A">
              <w:rPr>
                <w:rFonts w:ascii="Times New Roman" w:hAnsi="Times New Roman"/>
                <w:kern w:val="2"/>
                <w:sz w:val="24"/>
                <w:szCs w:val="24"/>
                <w:lang w:val="ro-RO"/>
              </w:rPr>
              <w:t xml:space="preserve">Până la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ro-RO"/>
              </w:rPr>
              <w:t>6</w:t>
            </w:r>
            <w:r w:rsidRPr="00090A8A">
              <w:rPr>
                <w:rFonts w:ascii="Times New Roman" w:hAnsi="Times New Roman"/>
                <w:kern w:val="2"/>
                <w:sz w:val="24"/>
                <w:szCs w:val="24"/>
                <w:lang w:val="ro-RO"/>
              </w:rPr>
              <w:t>00.000 MDL</w:t>
            </w:r>
          </w:p>
          <w:p w:rsidR="00E34F8F" w:rsidRPr="00090A8A" w:rsidRDefault="00E34F8F">
            <w:pPr>
              <w:rPr>
                <w:rFonts w:ascii="Times New Roman" w:hAnsi="Times New Roman"/>
                <w:kern w:val="2"/>
                <w:sz w:val="24"/>
                <w:szCs w:val="24"/>
                <w:lang w:val="ro-RO"/>
              </w:rPr>
            </w:pPr>
            <w:r w:rsidRPr="00090A8A">
              <w:rPr>
                <w:rFonts w:ascii="Times New Roman" w:hAnsi="Times New Roman"/>
                <w:kern w:val="2"/>
                <w:sz w:val="24"/>
                <w:szCs w:val="24"/>
                <w:lang w:val="ro-RO"/>
              </w:rPr>
              <w:t>(împrumut)</w:t>
            </w:r>
          </w:p>
        </w:tc>
      </w:tr>
      <w:tr w:rsidR="00E34F8F" w:rsidRPr="00090A8A" w:rsidTr="00C266CB">
        <w:trPr>
          <w:trHeight w:val="943"/>
          <w:jc w:val="center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8F" w:rsidRPr="00090A8A" w:rsidRDefault="00E34F8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90A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Suma maximală a pachetului financiar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8F" w:rsidRPr="00090A8A" w:rsidRDefault="00E34F8F">
            <w:pPr>
              <w:rPr>
                <w:rFonts w:ascii="Times New Roman" w:hAnsi="Times New Roman"/>
                <w:kern w:val="2"/>
                <w:sz w:val="24"/>
                <w:szCs w:val="24"/>
                <w:lang w:val="ro-RO"/>
              </w:rPr>
            </w:pPr>
            <w:r w:rsidRPr="00090A8A">
              <w:rPr>
                <w:rFonts w:ascii="Times New Roman" w:hAnsi="Times New Roman"/>
                <w:kern w:val="2"/>
                <w:sz w:val="24"/>
                <w:szCs w:val="24"/>
                <w:lang w:val="ro-RO"/>
              </w:rPr>
              <w:t xml:space="preserve">Echivalentul sumei de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ro-RO"/>
              </w:rPr>
              <w:t>25</w:t>
            </w:r>
            <w:r w:rsidRPr="00090A8A">
              <w:rPr>
                <w:rFonts w:ascii="Times New Roman" w:hAnsi="Times New Roman"/>
                <w:kern w:val="2"/>
                <w:sz w:val="24"/>
                <w:szCs w:val="24"/>
                <w:lang w:val="ro-RO"/>
              </w:rPr>
              <w:t>0.000 EUR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8F" w:rsidRPr="00090A8A" w:rsidRDefault="00E34F8F">
            <w:pPr>
              <w:rPr>
                <w:rFonts w:ascii="Times New Roman" w:hAnsi="Times New Roman"/>
                <w:kern w:val="2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ro-RO"/>
              </w:rPr>
              <w:t>6</w:t>
            </w:r>
            <w:r w:rsidRPr="00090A8A">
              <w:rPr>
                <w:rFonts w:ascii="Times New Roman" w:hAnsi="Times New Roman"/>
                <w:kern w:val="2"/>
                <w:sz w:val="24"/>
                <w:szCs w:val="24"/>
                <w:lang w:val="ro-RO"/>
              </w:rPr>
              <w:t>00.000 MDL</w:t>
            </w:r>
          </w:p>
        </w:tc>
      </w:tr>
      <w:tr w:rsidR="00E34F8F" w:rsidRPr="00090A8A" w:rsidTr="00C266CB">
        <w:trPr>
          <w:trHeight w:val="775"/>
          <w:jc w:val="center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8F" w:rsidRPr="00090A8A" w:rsidRDefault="00E34F8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Maturitatea 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8F" w:rsidRPr="00090A8A" w:rsidRDefault="00C266CB">
            <w:pPr>
              <w:rPr>
                <w:rFonts w:ascii="Times New Roman" w:hAnsi="Times New Roman"/>
                <w:kern w:val="2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ro-RO"/>
              </w:rPr>
              <w:t xml:space="preserve">Min 12 luni, </w:t>
            </w:r>
            <w:r w:rsidR="00E34F8F">
              <w:rPr>
                <w:rFonts w:ascii="Times New Roman" w:hAnsi="Times New Roman"/>
                <w:kern w:val="2"/>
                <w:sz w:val="24"/>
                <w:szCs w:val="24"/>
                <w:lang w:val="ro-RO"/>
              </w:rPr>
              <w:t>Max. 8 ani, inclusiv perioada de grație de până la 4 ani.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8F" w:rsidRPr="00090A8A" w:rsidRDefault="00E34F8F">
            <w:pPr>
              <w:rPr>
                <w:rFonts w:ascii="Times New Roman" w:hAnsi="Times New Roman"/>
                <w:kern w:val="2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ro-RO"/>
              </w:rPr>
              <w:t xml:space="preserve">Max. 5 ani, inclusiv perioada de grație de până la 2 ani. </w:t>
            </w:r>
          </w:p>
        </w:tc>
      </w:tr>
      <w:tr w:rsidR="00E34F8F" w:rsidRPr="00090A8A" w:rsidTr="00C266CB">
        <w:trPr>
          <w:trHeight w:val="775"/>
          <w:jc w:val="center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8F" w:rsidRDefault="00E34F8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7700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Contribuția beneficiarului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8F" w:rsidRDefault="00E34F8F">
            <w:pPr>
              <w:rPr>
                <w:rFonts w:ascii="Times New Roman" w:hAnsi="Times New Roman"/>
                <w:kern w:val="2"/>
                <w:sz w:val="24"/>
                <w:szCs w:val="24"/>
                <w:lang w:val="ro-RO"/>
              </w:rPr>
            </w:pPr>
            <w:r w:rsidRPr="00FB69DA">
              <w:rPr>
                <w:rFonts w:ascii="Times New Roman" w:hAnsi="Times New Roman"/>
                <w:kern w:val="2"/>
                <w:sz w:val="24"/>
                <w:szCs w:val="24"/>
                <w:lang w:val="ro-RO"/>
              </w:rPr>
              <w:t xml:space="preserve">Min. </w:t>
            </w:r>
            <w:r w:rsidR="00C266CB">
              <w:rPr>
                <w:rFonts w:ascii="Times New Roman" w:hAnsi="Times New Roman"/>
                <w:kern w:val="2"/>
                <w:sz w:val="24"/>
                <w:szCs w:val="24"/>
                <w:lang w:val="ro-RO"/>
              </w:rPr>
              <w:t>2</w:t>
            </w:r>
            <w:r w:rsidRPr="00FB69DA">
              <w:rPr>
                <w:rFonts w:ascii="Times New Roman" w:hAnsi="Times New Roman"/>
                <w:kern w:val="2"/>
                <w:sz w:val="24"/>
                <w:szCs w:val="24"/>
                <w:lang w:val="ro-RO"/>
              </w:rPr>
              <w:t>% din costul total al proiectului de investiții în numerar sau bunuri materiale.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8F" w:rsidRDefault="00E34F8F">
            <w:pPr>
              <w:rPr>
                <w:rFonts w:ascii="Times New Roman" w:hAnsi="Times New Roman"/>
                <w:kern w:val="2"/>
                <w:sz w:val="24"/>
                <w:szCs w:val="24"/>
                <w:lang w:val="ro-RO"/>
              </w:rPr>
            </w:pPr>
            <w:r w:rsidRPr="00FB69DA">
              <w:rPr>
                <w:rFonts w:ascii="Times New Roman" w:hAnsi="Times New Roman"/>
                <w:kern w:val="2"/>
                <w:sz w:val="24"/>
                <w:szCs w:val="24"/>
                <w:lang w:val="ro-RO"/>
              </w:rPr>
              <w:t>Min. 10% din costul total al proiectului de investiții în numerar sau bunuri materiale.</w:t>
            </w:r>
          </w:p>
        </w:tc>
      </w:tr>
    </w:tbl>
    <w:p w:rsidR="00CB65F4" w:rsidRPr="00B810F8" w:rsidRDefault="00CB65F4" w:rsidP="00CB65F4">
      <w:pPr>
        <w:pStyle w:val="Header"/>
        <w:tabs>
          <w:tab w:val="left" w:pos="270"/>
        </w:tabs>
        <w:spacing w:line="276" w:lineRule="auto"/>
        <w:jc w:val="both"/>
        <w:rPr>
          <w:sz w:val="24"/>
          <w:szCs w:val="24"/>
          <w:lang w:val="ro-RO"/>
        </w:rPr>
      </w:pPr>
      <w:r w:rsidRPr="00090A8A">
        <w:rPr>
          <w:sz w:val="24"/>
          <w:szCs w:val="24"/>
          <w:lang w:val="ro-RO"/>
        </w:rPr>
        <w:tab/>
      </w:r>
      <w:r w:rsidRPr="00B810F8">
        <w:rPr>
          <w:sz w:val="24"/>
          <w:szCs w:val="24"/>
          <w:lang w:val="ro-RO"/>
        </w:rPr>
        <w:t xml:space="preserve">Activitățile care nu pot fi finanțate: </w:t>
      </w:r>
    </w:p>
    <w:p w:rsidR="00CB65F4" w:rsidRPr="00B810F8" w:rsidRDefault="00643618" w:rsidP="00CB65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ro-RO"/>
        </w:rPr>
      </w:pPr>
      <w:r w:rsidRPr="00B810F8">
        <w:rPr>
          <w:rFonts w:ascii="Times New Roman" w:eastAsia="Times New Roman" w:hAnsi="Times New Roman"/>
          <w:iCs/>
          <w:sz w:val="24"/>
          <w:szCs w:val="24"/>
          <w:lang w:val="ro-RO"/>
        </w:rPr>
        <w:t>p</w:t>
      </w:r>
      <w:r w:rsidR="00CB65F4" w:rsidRPr="00B810F8">
        <w:rPr>
          <w:rFonts w:ascii="Times New Roman" w:eastAsia="Times New Roman" w:hAnsi="Times New Roman"/>
          <w:iCs/>
          <w:sz w:val="24"/>
          <w:szCs w:val="24"/>
          <w:lang w:val="ro-RO"/>
        </w:rPr>
        <w:t xml:space="preserve">roducerea și comercializarea strugurilor din soiuri tehnice, băuturi alcoolice (băuturi tari, bere, vin, etc.) și </w:t>
      </w:r>
      <w:r w:rsidRPr="00B810F8">
        <w:rPr>
          <w:rFonts w:ascii="Times New Roman" w:eastAsia="Times New Roman" w:hAnsi="Times New Roman"/>
          <w:iCs/>
          <w:sz w:val="24"/>
          <w:szCs w:val="24"/>
          <w:lang w:val="ro-RO"/>
        </w:rPr>
        <w:t xml:space="preserve">a </w:t>
      </w:r>
      <w:r w:rsidR="00CB65F4" w:rsidRPr="00B810F8">
        <w:rPr>
          <w:rFonts w:ascii="Times New Roman" w:eastAsia="Times New Roman" w:hAnsi="Times New Roman"/>
          <w:iCs/>
          <w:sz w:val="24"/>
          <w:szCs w:val="24"/>
          <w:lang w:val="ro-RO"/>
        </w:rPr>
        <w:t>tutun</w:t>
      </w:r>
      <w:r w:rsidRPr="00B810F8">
        <w:rPr>
          <w:rFonts w:ascii="Times New Roman" w:eastAsia="Times New Roman" w:hAnsi="Times New Roman"/>
          <w:iCs/>
          <w:sz w:val="24"/>
          <w:szCs w:val="24"/>
          <w:lang w:val="ro-RO"/>
        </w:rPr>
        <w:t>ului</w:t>
      </w:r>
      <w:r w:rsidR="00CB65F4" w:rsidRPr="00B810F8">
        <w:rPr>
          <w:rFonts w:ascii="Times New Roman" w:eastAsia="Times New Roman" w:hAnsi="Times New Roman"/>
          <w:iCs/>
          <w:sz w:val="24"/>
          <w:szCs w:val="24"/>
          <w:lang w:val="ro-RO"/>
        </w:rPr>
        <w:t>;</w:t>
      </w:r>
    </w:p>
    <w:p w:rsidR="00CB65F4" w:rsidRPr="00B810F8" w:rsidRDefault="00643618" w:rsidP="00CB65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ro-RO"/>
        </w:rPr>
      </w:pPr>
      <w:r w:rsidRPr="00B810F8">
        <w:rPr>
          <w:rFonts w:ascii="Times New Roman" w:eastAsia="Times New Roman" w:hAnsi="Times New Roman"/>
          <w:iCs/>
          <w:sz w:val="24"/>
          <w:szCs w:val="24"/>
          <w:lang w:val="ro-RO"/>
        </w:rPr>
        <w:t>c</w:t>
      </w:r>
      <w:r w:rsidR="00CB65F4" w:rsidRPr="00B810F8">
        <w:rPr>
          <w:rFonts w:ascii="Times New Roman" w:eastAsia="Times New Roman" w:hAnsi="Times New Roman"/>
          <w:iCs/>
          <w:sz w:val="24"/>
          <w:szCs w:val="24"/>
          <w:lang w:val="ro-RO"/>
        </w:rPr>
        <w:t>omerțul (cu excepția achiziționării de active necesare pentru comercializarea produselor proprii);</w:t>
      </w:r>
    </w:p>
    <w:p w:rsidR="00CB65F4" w:rsidRPr="00B810F8" w:rsidRDefault="00643618" w:rsidP="00CB65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B810F8">
        <w:rPr>
          <w:rFonts w:ascii="Times New Roman" w:eastAsia="Times New Roman" w:hAnsi="Times New Roman"/>
          <w:sz w:val="24"/>
          <w:szCs w:val="24"/>
          <w:lang w:val="ro-RO"/>
        </w:rPr>
        <w:t>c</w:t>
      </w:r>
      <w:r w:rsidR="00CB65F4" w:rsidRPr="00B810F8">
        <w:rPr>
          <w:rFonts w:ascii="Times New Roman" w:eastAsia="Times New Roman" w:hAnsi="Times New Roman"/>
          <w:sz w:val="24"/>
          <w:szCs w:val="24"/>
          <w:lang w:val="ro-RO"/>
        </w:rPr>
        <w:t>onstrucția de case de locuit, clădiri administrative și comerciale;</w:t>
      </w:r>
    </w:p>
    <w:p w:rsidR="00CB65F4" w:rsidRPr="00B810F8" w:rsidRDefault="00643618" w:rsidP="00CB65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B810F8">
        <w:rPr>
          <w:rFonts w:ascii="Times New Roman" w:eastAsia="Times New Roman" w:hAnsi="Times New Roman"/>
          <w:sz w:val="24"/>
          <w:szCs w:val="24"/>
          <w:lang w:val="ro-RO"/>
        </w:rPr>
        <w:t>c</w:t>
      </w:r>
      <w:r w:rsidR="00CB65F4" w:rsidRPr="00B810F8">
        <w:rPr>
          <w:rFonts w:ascii="Times New Roman" w:eastAsia="Times New Roman" w:hAnsi="Times New Roman"/>
          <w:sz w:val="24"/>
          <w:szCs w:val="24"/>
          <w:lang w:val="ro-RO"/>
        </w:rPr>
        <w:t>omerțul, reparația și amanetarea articolelor de bijuterie din metale prețioase, alte activități similare;</w:t>
      </w:r>
    </w:p>
    <w:p w:rsidR="00CB65F4" w:rsidRPr="00B810F8" w:rsidRDefault="00643618" w:rsidP="00CB65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B810F8">
        <w:rPr>
          <w:rFonts w:ascii="Times New Roman" w:eastAsia="Times New Roman" w:hAnsi="Times New Roman"/>
          <w:sz w:val="24"/>
          <w:szCs w:val="24"/>
          <w:lang w:val="ro-RO"/>
        </w:rPr>
        <w:t>a</w:t>
      </w:r>
      <w:r w:rsidR="00CB65F4" w:rsidRPr="00B810F8">
        <w:rPr>
          <w:rFonts w:ascii="Times New Roman" w:eastAsia="Times New Roman" w:hAnsi="Times New Roman"/>
          <w:sz w:val="24"/>
          <w:szCs w:val="24"/>
          <w:lang w:val="ro-RO"/>
        </w:rPr>
        <w:t>ctivități de transport pasageri / lucrători, servicii de taxi, mașini personale;</w:t>
      </w:r>
    </w:p>
    <w:p w:rsidR="00643618" w:rsidRPr="00B810F8" w:rsidRDefault="00643618" w:rsidP="00CB65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B810F8">
        <w:rPr>
          <w:rFonts w:ascii="Times New Roman" w:eastAsia="Times New Roman" w:hAnsi="Times New Roman"/>
          <w:sz w:val="24"/>
          <w:szCs w:val="24"/>
          <w:lang w:val="ro-RO"/>
        </w:rPr>
        <w:lastRenderedPageBreak/>
        <w:t>s</w:t>
      </w:r>
      <w:r w:rsidR="00CB65F4" w:rsidRPr="00B810F8">
        <w:rPr>
          <w:rFonts w:ascii="Times New Roman" w:eastAsia="Times New Roman" w:hAnsi="Times New Roman"/>
          <w:sz w:val="24"/>
          <w:szCs w:val="24"/>
          <w:lang w:val="ro-RO"/>
        </w:rPr>
        <w:t>ervicii de asistență socială și educație</w:t>
      </w:r>
      <w:r w:rsidRPr="00B810F8">
        <w:rPr>
          <w:rFonts w:ascii="Times New Roman" w:eastAsia="Times New Roman" w:hAnsi="Times New Roman"/>
          <w:sz w:val="24"/>
          <w:szCs w:val="24"/>
          <w:lang w:val="ro-RO"/>
        </w:rPr>
        <w:t xml:space="preserve">; </w:t>
      </w:r>
    </w:p>
    <w:p w:rsidR="00CB65F4" w:rsidRPr="00B810F8" w:rsidRDefault="00FB69DA" w:rsidP="00CB65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B810F8">
        <w:rPr>
          <w:rFonts w:ascii="Times New Roman" w:eastAsia="Times New Roman" w:hAnsi="Times New Roman"/>
          <w:sz w:val="24"/>
          <w:szCs w:val="24"/>
          <w:lang w:val="ro-RO"/>
        </w:rPr>
        <w:t>plata oricăror impozite (inclusiv TVA) sau datorii, asigurare</w:t>
      </w:r>
      <w:r w:rsidR="00764D19" w:rsidRPr="00B810F8">
        <w:rPr>
          <w:rFonts w:ascii="Times New Roman" w:eastAsia="Times New Roman" w:hAnsi="Times New Roman"/>
          <w:sz w:val="24"/>
          <w:szCs w:val="24"/>
          <w:lang w:val="ro-RO"/>
        </w:rPr>
        <w:t>;</w:t>
      </w:r>
    </w:p>
    <w:p w:rsidR="00764D19" w:rsidRPr="00B810F8" w:rsidRDefault="00764D19" w:rsidP="00CB65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B810F8">
        <w:rPr>
          <w:rFonts w:ascii="Times New Roman" w:eastAsia="Times New Roman" w:hAnsi="Times New Roman"/>
          <w:sz w:val="24"/>
          <w:szCs w:val="24"/>
          <w:lang w:val="ro-RO"/>
        </w:rPr>
        <w:t>achiziționarea / închirierea terenurilor și a clădirilor de producție / depozitare existente;</w:t>
      </w:r>
    </w:p>
    <w:p w:rsidR="00764D19" w:rsidRPr="00B810F8" w:rsidRDefault="00764D19" w:rsidP="00764D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B810F8">
        <w:rPr>
          <w:rFonts w:ascii="Times New Roman" w:eastAsia="Times New Roman" w:hAnsi="Times New Roman"/>
          <w:sz w:val="24"/>
          <w:szCs w:val="24"/>
          <w:lang w:val="ro-RO"/>
        </w:rPr>
        <w:t>achiziționarea de pesticide și alte bunuri și activități nocive pentru mediu;</w:t>
      </w:r>
    </w:p>
    <w:p w:rsidR="00764D19" w:rsidRPr="00B810F8" w:rsidRDefault="00764D19" w:rsidP="00764D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B810F8">
        <w:rPr>
          <w:rFonts w:ascii="Times New Roman" w:eastAsia="Times New Roman" w:hAnsi="Times New Roman"/>
          <w:sz w:val="24"/>
          <w:szCs w:val="24"/>
          <w:lang w:val="ro-RO"/>
        </w:rPr>
        <w:t>imobilizări necorporale (costuri legate de achiziționarea de licențe, cote părți, drepturi de producție și alte drepturi acordate de organismele publice);</w:t>
      </w:r>
    </w:p>
    <w:p w:rsidR="00764D19" w:rsidRPr="00B810F8" w:rsidRDefault="00764D19" w:rsidP="00764D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B810F8">
        <w:rPr>
          <w:rFonts w:ascii="Times New Roman" w:eastAsia="Times New Roman" w:hAnsi="Times New Roman"/>
          <w:sz w:val="24"/>
          <w:szCs w:val="24"/>
          <w:lang w:val="ro-RO"/>
        </w:rPr>
        <w:t>jocuri de noroc, divertisment, centre de agrement, restaurante, baruri, alte activități similare.</w:t>
      </w:r>
    </w:p>
    <w:p w:rsidR="00CB65F4" w:rsidRPr="00B810F8" w:rsidRDefault="00CB65F4" w:rsidP="00CB65F4">
      <w:pPr>
        <w:pStyle w:val="Header"/>
        <w:tabs>
          <w:tab w:val="left" w:pos="270"/>
        </w:tabs>
        <w:spacing w:line="276" w:lineRule="auto"/>
        <w:jc w:val="both"/>
        <w:rPr>
          <w:sz w:val="24"/>
          <w:szCs w:val="24"/>
          <w:lang w:val="ro-RO"/>
        </w:rPr>
      </w:pPr>
    </w:p>
    <w:p w:rsidR="00CB65F4" w:rsidRPr="00090A8A" w:rsidRDefault="00CB65F4" w:rsidP="00CB65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B810F8">
        <w:rPr>
          <w:rFonts w:ascii="Times New Roman" w:eastAsia="Times New Roman" w:hAnsi="Times New Roman"/>
          <w:sz w:val="24"/>
          <w:szCs w:val="24"/>
          <w:lang w:val="ro-RO" w:eastAsia="ru-RU"/>
        </w:rPr>
        <w:t>Este posibilă finanțarea retroactivă în termen de cel mult 90 de zile calendaristice din data efectuării plăților cheltuielilor eligibile.</w:t>
      </w: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 </w:t>
      </w:r>
    </w:p>
    <w:p w:rsidR="00CB65F4" w:rsidRPr="00090A8A" w:rsidRDefault="00CB65F4" w:rsidP="00CB65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</w:p>
    <w:p w:rsidR="00CB65F4" w:rsidRPr="00090A8A" w:rsidRDefault="00CB65F4" w:rsidP="00CB65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Rata de recreditare a</w:t>
      </w:r>
      <w:r w:rsidRPr="00090A8A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 xml:space="preserve"> </w:t>
      </w: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Ministerului Finanțelor/OGP</w:t>
      </w:r>
      <w:r w:rsidR="00643618"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 </w:t>
      </w: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AE pentru IFP intermediare pentru sub-împrumuturi acordate în EUR (anuală, flotantă, revizuită semi-anual) este bazată pe rata EURIBOR de 6 luni, plus marja creditorului extern, plus marja MF/OGPAE de acoperire a costurilor de deservire a împrumutului extern și cheltuielilor operaționale, de risc de credit și de schimb valutar. IFP intermediare, asumându-și toate riscurile legate de recreditare, pot adăuga o marja pentru riscurile sale de credit, în același timp asigurând transmiterea beneficiarilor finali a avantajelor resurselor </w:t>
      </w:r>
      <w:r w:rsidR="00D37EBE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Liniei de Credit a </w:t>
      </w: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Proiectului. </w:t>
      </w:r>
    </w:p>
    <w:p w:rsidR="00CB65F4" w:rsidRPr="00090A8A" w:rsidRDefault="00CB65F4" w:rsidP="00CB65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</w:p>
    <w:p w:rsidR="00CB65F4" w:rsidRPr="00090A8A" w:rsidRDefault="00CB65F4" w:rsidP="00CB65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Pentru </w:t>
      </w:r>
      <w:r w:rsidR="00643618"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fondurile </w:t>
      </w: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în MDL </w:t>
      </w:r>
      <w:r w:rsidRPr="00090A8A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ratele de recreditare se vor baza pe rata de baza a Băncii Naționale</w:t>
      </w:r>
      <w:r w:rsidR="00643618" w:rsidRPr="00090A8A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 xml:space="preserve"> a Moldovei</w:t>
      </w:r>
      <w:r w:rsidRPr="00090A8A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 xml:space="preserve">, </w:t>
      </w: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plus marja MF/OGPAE de acoperire a costurilor de deservire a împrumutului extern și cheltuielilor operaționale, de risc de credit și de schimb valutar, plus marja IFP pentru asumarea riscurilor de credit.</w:t>
      </w:r>
      <w:r w:rsidR="00090A8A"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 IFP, în calitate de intermediari financiari asigură pe riscul propriu rambursarea fondurilor </w:t>
      </w:r>
      <w:r w:rsidR="00D37EBE">
        <w:rPr>
          <w:rFonts w:ascii="Times New Roman" w:eastAsia="Times New Roman" w:hAnsi="Times New Roman"/>
          <w:sz w:val="24"/>
          <w:szCs w:val="24"/>
          <w:lang w:val="ro-RO" w:eastAsia="ru-RU"/>
        </w:rPr>
        <w:t>împrumutate in cadrul Liniei de Credit a</w:t>
      </w:r>
      <w:r w:rsidR="00090A8A"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 Proiectului către Ministerul Finanțelor</w:t>
      </w:r>
      <w:r w:rsidR="00D37EBE">
        <w:rPr>
          <w:rFonts w:ascii="Times New Roman" w:eastAsia="Times New Roman" w:hAnsi="Times New Roman"/>
          <w:sz w:val="24"/>
          <w:szCs w:val="24"/>
          <w:lang w:val="ro-RO" w:eastAsia="ru-RU"/>
        </w:rPr>
        <w:t>/OGPAE</w:t>
      </w:r>
      <w:r w:rsidR="00090A8A"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. </w:t>
      </w:r>
    </w:p>
    <w:p w:rsidR="00CB65F4" w:rsidRPr="00090A8A" w:rsidRDefault="00CB65F4" w:rsidP="00CB65F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</w:p>
    <w:p w:rsidR="00CB65F4" w:rsidRPr="00090A8A" w:rsidRDefault="00CB65F4" w:rsidP="00CB65F4">
      <w:pPr>
        <w:spacing w:after="0" w:line="240" w:lineRule="auto"/>
        <w:jc w:val="both"/>
        <w:rPr>
          <w:rStyle w:val="Hyperlink"/>
          <w:color w:val="auto"/>
          <w:lang w:val="ro-RO"/>
        </w:rPr>
      </w:pP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Pentru transparenta costurilor fondurilor, ratele de recreditare de stat </w:t>
      </w:r>
      <w:r w:rsidR="00090A8A"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ale MF/OGP AE </w:t>
      </w: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pentru IFP intermediare sunt plasate periodic pe pagina web a Ministerului Finanțelor </w:t>
      </w:r>
      <w:hyperlink r:id="rId7" w:history="1">
        <w:r w:rsidRPr="00090A8A">
          <w:rPr>
            <w:rStyle w:val="Hyperlink"/>
            <w:rFonts w:ascii="Times New Roman" w:hAnsi="Times New Roman"/>
            <w:color w:val="auto"/>
            <w:sz w:val="24"/>
            <w:szCs w:val="24"/>
            <w:lang w:val="ro-RO" w:eastAsia="ru-RU"/>
          </w:rPr>
          <w:t>http://mf.gov.md/ro/datoria-sectorului-public/proiectele-</w:t>
        </w:r>
        <w:r w:rsidRPr="00090A8A">
          <w:rPr>
            <w:rStyle w:val="Hyperlink"/>
            <w:color w:val="auto"/>
            <w:lang w:val="ro-RO"/>
          </w:rPr>
          <w:t>oficiul</w:t>
        </w:r>
      </w:hyperlink>
      <w:r w:rsidRPr="00090A8A">
        <w:rPr>
          <w:lang w:val="ro-RO"/>
        </w:rPr>
        <w:t xml:space="preserve"> </w:t>
      </w:r>
      <w:r w:rsidRPr="00090A8A">
        <w:rPr>
          <w:rStyle w:val="Hyperlink"/>
          <w:rFonts w:ascii="Times New Roman" w:hAnsi="Times New Roman"/>
          <w:color w:val="auto"/>
          <w:sz w:val="24"/>
          <w:szCs w:val="24"/>
          <w:lang w:val="ro-RO" w:eastAsia="ru-RU"/>
        </w:rPr>
        <w:t>de gestionare a programelor de asistenta externa; http:// ogpae.gov.md.</w:t>
      </w:r>
    </w:p>
    <w:p w:rsidR="00CB65F4" w:rsidRPr="00090A8A" w:rsidRDefault="00CB65F4" w:rsidP="00CB65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B65F4" w:rsidRPr="00090A8A" w:rsidRDefault="00CB65F4" w:rsidP="00CB65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090A8A">
        <w:rPr>
          <w:rFonts w:ascii="Times New Roman" w:hAnsi="Times New Roman"/>
          <w:sz w:val="24"/>
          <w:szCs w:val="24"/>
          <w:lang w:val="ro-RO"/>
        </w:rPr>
        <w:t>Pentru consultări generale,</w:t>
      </w: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 beneficiarii potențiali se pot adresa la</w:t>
      </w:r>
      <w:r w:rsidR="00090A8A"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 IFP </w:t>
      </w:r>
      <w:r w:rsidR="00090A8A" w:rsidRPr="00090A8A">
        <w:rPr>
          <w:rFonts w:ascii="Times New Roman" w:hAnsi="Times New Roman"/>
          <w:sz w:val="24"/>
          <w:szCs w:val="24"/>
          <w:lang w:val="ro-RO"/>
        </w:rPr>
        <w:t xml:space="preserve">eligibile menționate, care pot acorda toată asistența necesară, precum și </w:t>
      </w:r>
      <w:r w:rsidR="00090A8A"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la </w:t>
      </w: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:</w:t>
      </w:r>
    </w:p>
    <w:p w:rsidR="00CB65F4" w:rsidRPr="00090A8A" w:rsidRDefault="00CB65F4" w:rsidP="00CB65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</w:p>
    <w:p w:rsidR="00CB65F4" w:rsidRPr="00090A8A" w:rsidRDefault="00CB65F4" w:rsidP="00CB65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Unitatea Consolidată pentru Implementarea Programelor IFAD</w:t>
      </w:r>
    </w:p>
    <w:p w:rsidR="00CB65F4" w:rsidRPr="00090A8A" w:rsidRDefault="00CB65F4" w:rsidP="00CB65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tel.: +373 22 210056, </w:t>
      </w:r>
    </w:p>
    <w:p w:rsidR="00CB65F4" w:rsidRPr="00090A8A" w:rsidRDefault="00CB65F4" w:rsidP="00CB65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e-mail: </w:t>
      </w:r>
      <w:hyperlink r:id="rId8" w:history="1">
        <w:r w:rsidRPr="00090A8A">
          <w:rPr>
            <w:rStyle w:val="Hyperlink"/>
            <w:rFonts w:ascii="Times New Roman" w:hAnsi="Times New Roman"/>
            <w:color w:val="auto"/>
            <w:sz w:val="24"/>
            <w:szCs w:val="24"/>
            <w:lang w:val="ro-RO" w:eastAsia="ru-RU"/>
          </w:rPr>
          <w:t>office@ucipifad.md</w:t>
        </w:r>
      </w:hyperlink>
      <w:r w:rsidRPr="00090A8A">
        <w:rPr>
          <w:lang w:val="ro-RO"/>
        </w:rPr>
        <w:t xml:space="preserve">.  </w:t>
      </w:r>
      <w:hyperlink r:id="rId9" w:history="1">
        <w:r w:rsidRPr="00090A8A">
          <w:rPr>
            <w:rStyle w:val="Hyperlink"/>
            <w:rFonts w:ascii="Times New Roman" w:hAnsi="Times New Roman"/>
            <w:color w:val="auto"/>
            <w:sz w:val="24"/>
            <w:szCs w:val="24"/>
            <w:lang w:val="ro-RO" w:eastAsia="ru-RU"/>
          </w:rPr>
          <w:t>www.ucipifad.md</w:t>
        </w:r>
      </w:hyperlink>
    </w:p>
    <w:p w:rsidR="00CB65F4" w:rsidRPr="00090A8A" w:rsidRDefault="00CB65F4" w:rsidP="00CB65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</w:p>
    <w:p w:rsidR="00CB65F4" w:rsidRPr="00090A8A" w:rsidRDefault="00CB65F4" w:rsidP="00CB65F4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Oficiul de Gestionare a Programelor de Asistenta Externa  </w:t>
      </w:r>
    </w:p>
    <w:p w:rsidR="00CB65F4" w:rsidRPr="00090A8A" w:rsidRDefault="00CB65F4" w:rsidP="00CB65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Tel. +373 22 238246. Fax: +373 22 238248. </w:t>
      </w:r>
    </w:p>
    <w:p w:rsidR="00CB65F4" w:rsidRPr="0003107F" w:rsidRDefault="00CB65F4" w:rsidP="00CB65F4">
      <w:pPr>
        <w:spacing w:after="0" w:line="240" w:lineRule="auto"/>
        <w:rPr>
          <w:rStyle w:val="Hyperlink"/>
          <w:rFonts w:ascii="Times New Roman" w:hAnsi="Times New Roman"/>
          <w:color w:val="auto"/>
          <w:sz w:val="24"/>
          <w:szCs w:val="24"/>
          <w:lang w:val="ro-RO"/>
        </w:rPr>
      </w:pPr>
      <w:r w:rsidRPr="0003107F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Email: </w:t>
      </w:r>
      <w:r w:rsidRPr="0003107F">
        <w:rPr>
          <w:rStyle w:val="Hyperlink"/>
          <w:rFonts w:ascii="Times New Roman" w:hAnsi="Times New Roman"/>
          <w:color w:val="auto"/>
          <w:sz w:val="24"/>
          <w:szCs w:val="24"/>
          <w:lang w:val="ro-RO"/>
        </w:rPr>
        <w:t xml:space="preserve">ogpae@ogpae.gov.md </w:t>
      </w:r>
    </w:p>
    <w:p w:rsidR="00CB65F4" w:rsidRPr="00090A8A" w:rsidRDefault="00CB65F4" w:rsidP="00CB65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B65F4" w:rsidRPr="00090A8A" w:rsidRDefault="00CB65F4" w:rsidP="00CB65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Oficiul de Gestionare a Programelor de Asistenta Externa (OGPAE) este responsabil de evaluarea și monitorizarea performanței și eligibilității IFP</w:t>
      </w:r>
      <w:r w:rsidR="00803859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 intermediare </w:t>
      </w: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 selectate, aprobarea </w:t>
      </w:r>
      <w:r w:rsidR="00803859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de comun cu UCIP-IFAD a </w:t>
      </w: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sub-proiectelor prezentate de IFP pentru finanțare, menținerea evidenței sub-împrumuturilor debursate și a datoriilor IFP</w:t>
      </w:r>
      <w:r w:rsidR="00EC5E05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 intermediare</w:t>
      </w:r>
      <w:r w:rsidR="00803859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 pentru împrumuturile contractate</w:t>
      </w: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, calcularea și colectarea de la IFP a sumelor principale și a dobânzilor aferente </w:t>
      </w:r>
      <w:r w:rsidR="00803859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sub-împrumuturile recreditate din </w:t>
      </w: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fondurile Liniei de Credit</w:t>
      </w:r>
      <w:r w:rsidR="00803859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 a Proiectului.</w:t>
      </w:r>
    </w:p>
    <w:p w:rsidR="00CB65F4" w:rsidRPr="00090A8A" w:rsidRDefault="00CB65F4" w:rsidP="00CB65F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  <w:bookmarkStart w:id="5" w:name="_GoBack"/>
      <w:bookmarkEnd w:id="5"/>
    </w:p>
    <w:p w:rsidR="00090A8A" w:rsidRPr="00090A8A" w:rsidRDefault="00090A8A" w:rsidP="000A56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I.P. Oficiul de Gestionare a Programelor de Asistenta Externa (OGPAE)</w:t>
      </w:r>
    </w:p>
    <w:p w:rsidR="00491CA5" w:rsidRPr="00090A8A" w:rsidRDefault="00C266CB" w:rsidP="000A5696">
      <w:pPr>
        <w:spacing w:after="0" w:line="240" w:lineRule="auto"/>
        <w:rPr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 w:eastAsia="ru-RU"/>
        </w:rPr>
        <w:t>1</w:t>
      </w:r>
      <w:r w:rsidR="0003107F">
        <w:rPr>
          <w:rFonts w:ascii="Times New Roman" w:eastAsia="Times New Roman" w:hAnsi="Times New Roman"/>
          <w:sz w:val="24"/>
          <w:szCs w:val="24"/>
          <w:lang w:val="ro-RO" w:eastAsia="ru-RU"/>
        </w:rPr>
        <w:t>0</w:t>
      </w:r>
      <w:r w:rsidR="00CB65F4"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val="ro-RO" w:eastAsia="ru-RU"/>
        </w:rPr>
        <w:t>7</w:t>
      </w:r>
      <w:r w:rsidR="00CB65F4"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val="ro-RO" w:eastAsia="ru-RU"/>
        </w:rPr>
        <w:t>3</w:t>
      </w:r>
      <w:r w:rsidR="00CB65F4" w:rsidRPr="00090A8A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. </w:t>
      </w:r>
    </w:p>
    <w:sectPr w:rsidR="00491CA5" w:rsidRPr="0009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25C" w:rsidRDefault="0093725C" w:rsidP="00CB65F4">
      <w:pPr>
        <w:spacing w:after="0" w:line="240" w:lineRule="auto"/>
      </w:pPr>
      <w:r>
        <w:separator/>
      </w:r>
    </w:p>
  </w:endnote>
  <w:endnote w:type="continuationSeparator" w:id="0">
    <w:p w:rsidR="0093725C" w:rsidRDefault="0093725C" w:rsidP="00CB6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25C" w:rsidRDefault="0093725C" w:rsidP="00CB65F4">
      <w:pPr>
        <w:spacing w:after="0" w:line="240" w:lineRule="auto"/>
      </w:pPr>
      <w:r>
        <w:separator/>
      </w:r>
    </w:p>
  </w:footnote>
  <w:footnote w:type="continuationSeparator" w:id="0">
    <w:p w:rsidR="0093725C" w:rsidRDefault="0093725C" w:rsidP="00CB6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36036"/>
    <w:multiLevelType w:val="hybridMultilevel"/>
    <w:tmpl w:val="DA36C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7E2E8B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65A7F"/>
    <w:multiLevelType w:val="hybridMultilevel"/>
    <w:tmpl w:val="CC2AEB4E"/>
    <w:lvl w:ilvl="0" w:tplc="F222865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C7757"/>
    <w:multiLevelType w:val="hybridMultilevel"/>
    <w:tmpl w:val="17706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60F57"/>
    <w:multiLevelType w:val="hybridMultilevel"/>
    <w:tmpl w:val="7F7E98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174D1"/>
    <w:multiLevelType w:val="hybridMultilevel"/>
    <w:tmpl w:val="6A4A0A62"/>
    <w:lvl w:ilvl="0" w:tplc="4A5AD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84B26"/>
    <w:multiLevelType w:val="hybridMultilevel"/>
    <w:tmpl w:val="73E82CE6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072053"/>
    <w:multiLevelType w:val="hybridMultilevel"/>
    <w:tmpl w:val="1B225E30"/>
    <w:lvl w:ilvl="0" w:tplc="2F5683CE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7A2A77FF"/>
    <w:multiLevelType w:val="hybridMultilevel"/>
    <w:tmpl w:val="8FAACEA6"/>
    <w:lvl w:ilvl="0" w:tplc="4A5AD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F4"/>
    <w:rsid w:val="0003107F"/>
    <w:rsid w:val="00076C33"/>
    <w:rsid w:val="00090A8A"/>
    <w:rsid w:val="000A0E15"/>
    <w:rsid w:val="000A5696"/>
    <w:rsid w:val="000C7C36"/>
    <w:rsid w:val="00161847"/>
    <w:rsid w:val="00181834"/>
    <w:rsid w:val="001E12AE"/>
    <w:rsid w:val="00281D63"/>
    <w:rsid w:val="00323E49"/>
    <w:rsid w:val="00491CA5"/>
    <w:rsid w:val="005C7012"/>
    <w:rsid w:val="00643618"/>
    <w:rsid w:val="00661E03"/>
    <w:rsid w:val="006908D6"/>
    <w:rsid w:val="006A39F2"/>
    <w:rsid w:val="006D09F8"/>
    <w:rsid w:val="007238DB"/>
    <w:rsid w:val="00764D19"/>
    <w:rsid w:val="00803859"/>
    <w:rsid w:val="00926521"/>
    <w:rsid w:val="0093725C"/>
    <w:rsid w:val="00A01769"/>
    <w:rsid w:val="00A52A72"/>
    <w:rsid w:val="00A5389E"/>
    <w:rsid w:val="00A9019B"/>
    <w:rsid w:val="00B5255F"/>
    <w:rsid w:val="00B810F8"/>
    <w:rsid w:val="00C0455B"/>
    <w:rsid w:val="00C266CB"/>
    <w:rsid w:val="00CB0D75"/>
    <w:rsid w:val="00CB65F4"/>
    <w:rsid w:val="00CF0368"/>
    <w:rsid w:val="00D37EBE"/>
    <w:rsid w:val="00D77005"/>
    <w:rsid w:val="00E34F8F"/>
    <w:rsid w:val="00E37309"/>
    <w:rsid w:val="00EC5E05"/>
    <w:rsid w:val="00ED10E6"/>
    <w:rsid w:val="00FB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011B66"/>
  <w15:chartTrackingRefBased/>
  <w15:docId w15:val="{E74389A0-01E4-44BE-8B9D-AD42AD66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5F4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5F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CB65F4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styleId="Hyperlink">
    <w:name w:val="Hyperlink"/>
    <w:uiPriority w:val="99"/>
    <w:semiHidden/>
    <w:unhideWhenUsed/>
    <w:rsid w:val="00CB65F4"/>
    <w:rPr>
      <w:color w:val="0000FF"/>
      <w:u w:val="single"/>
    </w:rPr>
  </w:style>
  <w:style w:type="character" w:customStyle="1" w:styleId="FootnoteTextChar1">
    <w:name w:val="Footnote Text Char1"/>
    <w:aliases w:val="single space Char,ft Char,Footnote Text WBR Char,WBR Char,footnote text Char,fn Char,ADB Char,FOOTNOTES Char,Footnote text Char,paragraph Char,Paragraph Footnote Char,f Char,Geneva 9 Char,Font: Geneva 9 Char,Boston 10 Char,A Char"/>
    <w:link w:val="FootnoteText"/>
    <w:uiPriority w:val="99"/>
    <w:semiHidden/>
    <w:locked/>
    <w:rsid w:val="00CB65F4"/>
    <w:rPr>
      <w:rFonts w:ascii="Verdana" w:eastAsia="Times New Roman" w:hAnsi="Verdana" w:cs="Times New Roman"/>
    </w:rPr>
  </w:style>
  <w:style w:type="paragraph" w:styleId="FootnoteText">
    <w:name w:val="footnote text"/>
    <w:aliases w:val="single space,ft,Footnote Text WBR,WBR,footnote text,fn,ADB,FOOTNOTES,Footnote text,paragraph,Paragraph Footnote,f,Geneva 9,Font: Geneva 9,Boston 10,Fußnotentext Char,Footnote Text Char2 Cha,Footnote Text Char Char Char,A"/>
    <w:basedOn w:val="Normal"/>
    <w:link w:val="FootnoteTextChar1"/>
    <w:uiPriority w:val="99"/>
    <w:semiHidden/>
    <w:unhideWhenUsed/>
    <w:qFormat/>
    <w:rsid w:val="00CB65F4"/>
    <w:pPr>
      <w:spacing w:after="0" w:line="240" w:lineRule="auto"/>
    </w:pPr>
    <w:rPr>
      <w:rFonts w:ascii="Verdana" w:eastAsia="Times New Roman" w:hAnsi="Verdana"/>
      <w:lang w:val="ro-RO"/>
    </w:rPr>
  </w:style>
  <w:style w:type="character" w:customStyle="1" w:styleId="FootnoteTextChar">
    <w:name w:val="Footnote Text Char"/>
    <w:basedOn w:val="DefaultParagraphFont"/>
    <w:uiPriority w:val="99"/>
    <w:semiHidden/>
    <w:rsid w:val="00CB65F4"/>
    <w:rPr>
      <w:rFonts w:ascii="Calibri" w:eastAsia="Calibri" w:hAnsi="Calibri" w:cs="Times New Roman"/>
      <w:sz w:val="20"/>
      <w:szCs w:val="20"/>
      <w:lang w:val="en-US"/>
    </w:rPr>
  </w:style>
  <w:style w:type="paragraph" w:styleId="Header">
    <w:name w:val="header"/>
    <w:basedOn w:val="Normal"/>
    <w:link w:val="HeaderChar1"/>
    <w:semiHidden/>
    <w:unhideWhenUsed/>
    <w:rsid w:val="00CB65F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uiPriority w:val="99"/>
    <w:semiHidden/>
    <w:rsid w:val="00CB65F4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Numbered paragraph,References,NUMBERED PARAGRAPH,List Paragraph 1,Bullets,List_Paragraph,Multilevel para_II,ADB paragraph numbering,Colorful List - Accent 11,List Paragraph (numbered (a)),Paragraphe  revu,Medium Grid 1 Accent 2,Dot pt"/>
    <w:basedOn w:val="Normal"/>
    <w:link w:val="ListParagraphChar"/>
    <w:uiPriority w:val="99"/>
    <w:qFormat/>
    <w:rsid w:val="00CB65F4"/>
    <w:pPr>
      <w:ind w:left="720"/>
      <w:contextualSpacing/>
    </w:pPr>
  </w:style>
  <w:style w:type="character" w:styleId="FootnoteReference">
    <w:name w:val="footnote reference"/>
    <w:aliases w:val="ftref,fr,16 Point,Superscript 6 Point,Footnote Reference Number,Footnote Reference_LVL6,Footnote Reference_LVL61,Footnote Reference_LVL62,Footnote Reference_LVL63,Footnote Reference_LVL64,Знак сноски-FN"/>
    <w:link w:val="BVIfnrCarCar"/>
    <w:uiPriority w:val="99"/>
    <w:unhideWhenUsed/>
    <w:qFormat/>
    <w:rsid w:val="00CB65F4"/>
    <w:rPr>
      <w:rFonts w:ascii="Times New Roman" w:hAnsi="Times New Roman" w:cs="Times New Roman"/>
      <w:vertAlign w:val="superscript"/>
    </w:rPr>
  </w:style>
  <w:style w:type="paragraph" w:customStyle="1" w:styleId="BVIfnrCarCar">
    <w:name w:val="BVI fnr Car Car"/>
    <w:aliases w:val="ftref Car Car,Footnote Reference Number Car Car,16 Point Car Car,Superscript 6 Point Car Car,16 Point Char Char Char Char Car Car,Superscript 6 Point Char Char Char Char Car Car"/>
    <w:basedOn w:val="Normal"/>
    <w:link w:val="FootnoteReference"/>
    <w:uiPriority w:val="99"/>
    <w:rsid w:val="00CB65F4"/>
    <w:pPr>
      <w:spacing w:after="160" w:line="240" w:lineRule="exact"/>
      <w:ind w:left="164" w:hanging="181"/>
    </w:pPr>
    <w:rPr>
      <w:rFonts w:ascii="Times New Roman" w:eastAsiaTheme="minorHAnsi" w:hAnsi="Times New Roman"/>
      <w:vertAlign w:val="superscript"/>
      <w:lang w:val="ro-RO"/>
    </w:rPr>
  </w:style>
  <w:style w:type="character" w:customStyle="1" w:styleId="HeaderChar1">
    <w:name w:val="Header Char1"/>
    <w:link w:val="Header"/>
    <w:semiHidden/>
    <w:locked/>
    <w:rsid w:val="00CB65F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TableGrid">
    <w:name w:val="Table Grid"/>
    <w:basedOn w:val="TableNormal"/>
    <w:uiPriority w:val="59"/>
    <w:rsid w:val="00CB6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da-D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CB65F4"/>
    <w:rPr>
      <w:rFonts w:ascii="Times New Roman" w:hAnsi="Times New Roman" w:cs="Times New Roman" w:hint="default"/>
      <w:i/>
      <w:iCs/>
    </w:rPr>
  </w:style>
  <w:style w:type="character" w:customStyle="1" w:styleId="ListParagraphChar">
    <w:name w:val="List Paragraph Char"/>
    <w:aliases w:val="Numbered paragraph Char,References Char,NUMBERED PARAGRAPH Char,List Paragraph 1 Char,Bullets Char,List_Paragraph Char,Multilevel para_II Char,ADB paragraph numbering Char,Colorful List - Accent 11 Char,Paragraphe  revu Char"/>
    <w:link w:val="ListParagraph"/>
    <w:uiPriority w:val="99"/>
    <w:qFormat/>
    <w:locked/>
    <w:rsid w:val="00CB65F4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64D19"/>
    <w:pPr>
      <w:widowControl w:val="0"/>
      <w:spacing w:after="0" w:line="240" w:lineRule="auto"/>
    </w:pPr>
    <w:rPr>
      <w:rFonts w:ascii="Verdana" w:eastAsia="Times New Roman" w:hAnsi="Verdana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64D19"/>
    <w:rPr>
      <w:rFonts w:ascii="Verdana" w:eastAsia="Times New Roman" w:hAnsi="Verdan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ucipifad.m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f.gov.md/ro/datoria-sectorului-public/proiectele-oficiu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cipifa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1206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Vilcu</dc:creator>
  <cp:keywords/>
  <dc:description/>
  <cp:lastModifiedBy>Veronica Jurminschi</cp:lastModifiedBy>
  <cp:revision>7</cp:revision>
  <cp:lastPrinted>2023-07-10T10:17:00Z</cp:lastPrinted>
  <dcterms:created xsi:type="dcterms:W3CDTF">2022-08-09T11:08:00Z</dcterms:created>
  <dcterms:modified xsi:type="dcterms:W3CDTF">2023-07-10T10:17:00Z</dcterms:modified>
</cp:coreProperties>
</file>